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017" w:rsidRPr="00834017" w:rsidRDefault="005B6483" w:rsidP="00834017">
      <w:pPr>
        <w:spacing w:after="0" w:line="240" w:lineRule="auto"/>
        <w:rPr>
          <w:rFonts w:ascii="Arial" w:hAnsi="Arial" w:cs="Arial"/>
          <w:b/>
          <w:sz w:val="28"/>
          <w:szCs w:val="28"/>
        </w:rPr>
      </w:pPr>
      <w:r>
        <w:rPr>
          <w:rFonts w:ascii="Arial" w:hAnsi="Arial" w:cs="Arial"/>
          <w:b/>
          <w:sz w:val="28"/>
          <w:szCs w:val="28"/>
        </w:rPr>
        <w:t xml:space="preserve">Offtaker of Last Resort Advisory Group – </w:t>
      </w:r>
      <w:r w:rsidR="00760E45">
        <w:rPr>
          <w:rFonts w:ascii="Arial" w:hAnsi="Arial" w:cs="Arial"/>
          <w:b/>
          <w:sz w:val="28"/>
          <w:szCs w:val="28"/>
        </w:rPr>
        <w:t>Second</w:t>
      </w:r>
      <w:bookmarkStart w:id="0" w:name="_GoBack"/>
      <w:bookmarkEnd w:id="0"/>
      <w:r>
        <w:rPr>
          <w:rFonts w:ascii="Arial" w:hAnsi="Arial" w:cs="Arial"/>
          <w:b/>
          <w:sz w:val="28"/>
          <w:szCs w:val="28"/>
        </w:rPr>
        <w:t xml:space="preserve"> Meeting</w:t>
      </w:r>
    </w:p>
    <w:p w:rsidR="00834017" w:rsidRPr="00834017" w:rsidRDefault="0061664A" w:rsidP="00834017">
      <w:pPr>
        <w:spacing w:after="0" w:line="240" w:lineRule="auto"/>
        <w:rPr>
          <w:rFonts w:ascii="Arial" w:hAnsi="Arial" w:cs="Arial"/>
          <w:b/>
          <w:sz w:val="28"/>
          <w:szCs w:val="28"/>
        </w:rPr>
      </w:pPr>
      <w:r>
        <w:rPr>
          <w:rFonts w:ascii="Arial" w:hAnsi="Arial" w:cs="Arial"/>
          <w:b/>
          <w:sz w:val="28"/>
          <w:szCs w:val="28"/>
        </w:rPr>
        <w:t>Wednesday</w:t>
      </w:r>
      <w:r w:rsidR="002F4A00">
        <w:rPr>
          <w:rFonts w:ascii="Arial" w:hAnsi="Arial" w:cs="Arial"/>
          <w:b/>
          <w:sz w:val="28"/>
          <w:szCs w:val="28"/>
        </w:rPr>
        <w:t xml:space="preserve"> </w:t>
      </w:r>
      <w:r w:rsidR="00D046B1">
        <w:rPr>
          <w:rFonts w:ascii="Arial" w:hAnsi="Arial" w:cs="Arial"/>
          <w:b/>
          <w:sz w:val="28"/>
          <w:szCs w:val="28"/>
        </w:rPr>
        <w:t>16</w:t>
      </w:r>
      <w:r w:rsidR="00D046B1" w:rsidRPr="00D046B1">
        <w:rPr>
          <w:rFonts w:ascii="Arial" w:hAnsi="Arial" w:cs="Arial"/>
          <w:b/>
          <w:sz w:val="28"/>
          <w:szCs w:val="28"/>
          <w:vertAlign w:val="superscript"/>
        </w:rPr>
        <w:t>th</w:t>
      </w:r>
      <w:r w:rsidR="00D046B1">
        <w:rPr>
          <w:rFonts w:ascii="Arial" w:hAnsi="Arial" w:cs="Arial"/>
          <w:b/>
          <w:sz w:val="28"/>
          <w:szCs w:val="28"/>
        </w:rPr>
        <w:t xml:space="preserve"> October 2013 09:00 – 11</w:t>
      </w:r>
      <w:r w:rsidR="00834017" w:rsidRPr="00834017">
        <w:rPr>
          <w:rFonts w:ascii="Arial" w:hAnsi="Arial" w:cs="Arial"/>
          <w:b/>
          <w:sz w:val="28"/>
          <w:szCs w:val="28"/>
        </w:rPr>
        <w:t>:</w:t>
      </w:r>
      <w:r w:rsidR="00743826">
        <w:rPr>
          <w:rFonts w:ascii="Arial" w:hAnsi="Arial" w:cs="Arial"/>
          <w:b/>
          <w:sz w:val="28"/>
          <w:szCs w:val="28"/>
        </w:rPr>
        <w:t>00</w:t>
      </w:r>
    </w:p>
    <w:p w:rsidR="000062F8" w:rsidRDefault="00D91ADA" w:rsidP="00D44139">
      <w:pPr>
        <w:spacing w:after="0" w:line="240" w:lineRule="auto"/>
        <w:rPr>
          <w:rFonts w:ascii="Arial" w:hAnsi="Arial" w:cs="Arial"/>
          <w:b/>
          <w:sz w:val="28"/>
          <w:szCs w:val="28"/>
        </w:rPr>
      </w:pPr>
      <w:r>
        <w:rPr>
          <w:rFonts w:ascii="Arial" w:hAnsi="Arial" w:cs="Arial"/>
          <w:b/>
          <w:sz w:val="28"/>
          <w:szCs w:val="28"/>
        </w:rPr>
        <w:t>Minutes and actions</w:t>
      </w:r>
    </w:p>
    <w:p w:rsidR="00533527" w:rsidRDefault="00533527" w:rsidP="00D44139">
      <w:pPr>
        <w:spacing w:after="0" w:line="240" w:lineRule="auto"/>
        <w:rPr>
          <w:rFonts w:ascii="Arial" w:hAnsi="Arial" w:cs="Arial"/>
          <w:b/>
          <w:sz w:val="28"/>
          <w:szCs w:val="28"/>
        </w:rPr>
      </w:pPr>
    </w:p>
    <w:p w:rsidR="00830BF1" w:rsidRPr="00533527" w:rsidRDefault="00830BF1" w:rsidP="00533527">
      <w:pPr>
        <w:spacing w:after="0" w:line="240" w:lineRule="auto"/>
        <w:rPr>
          <w:rFonts w:ascii="Arial" w:hAnsi="Arial" w:cs="Arial"/>
          <w:b/>
          <w:sz w:val="24"/>
          <w:szCs w:val="24"/>
        </w:rPr>
      </w:pPr>
      <w:r w:rsidRPr="00533527">
        <w:rPr>
          <w:rFonts w:ascii="Arial" w:hAnsi="Arial" w:cs="Arial"/>
          <w:b/>
          <w:sz w:val="24"/>
          <w:szCs w:val="24"/>
        </w:rPr>
        <w:t>Attendees:</w:t>
      </w:r>
    </w:p>
    <w:p w:rsidR="0045161A" w:rsidRDefault="0045161A" w:rsidP="0045161A">
      <w:pPr>
        <w:spacing w:after="0" w:line="240" w:lineRule="auto"/>
        <w:rPr>
          <w:rFonts w:ascii="Arial" w:hAnsi="Arial" w:cs="Arial"/>
          <w:b/>
          <w:sz w:val="24"/>
          <w:szCs w:val="24"/>
          <w:u w:val="single"/>
        </w:rPr>
      </w:pPr>
    </w:p>
    <w:p w:rsidR="0045161A" w:rsidRPr="00533527" w:rsidRDefault="0045161A" w:rsidP="0045161A">
      <w:pPr>
        <w:spacing w:after="0" w:line="240" w:lineRule="auto"/>
        <w:rPr>
          <w:rFonts w:ascii="Arial" w:hAnsi="Arial" w:cs="Arial"/>
          <w:b/>
          <w:sz w:val="24"/>
          <w:szCs w:val="24"/>
          <w:u w:val="single"/>
        </w:rPr>
      </w:pPr>
      <w:r>
        <w:rPr>
          <w:rFonts w:ascii="Arial" w:hAnsi="Arial" w:cs="Arial"/>
          <w:b/>
          <w:sz w:val="24"/>
          <w:szCs w:val="24"/>
          <w:u w:val="single"/>
        </w:rPr>
        <w:t>DECC attendees</w:t>
      </w:r>
      <w:r w:rsidRPr="00533527">
        <w:rPr>
          <w:rFonts w:ascii="Arial" w:hAnsi="Arial" w:cs="Arial"/>
          <w:b/>
          <w:sz w:val="24"/>
          <w:szCs w:val="24"/>
          <w:u w:val="single"/>
        </w:rPr>
        <w:t>:</w:t>
      </w:r>
    </w:p>
    <w:p w:rsidR="00103405" w:rsidRDefault="00103405" w:rsidP="0045161A">
      <w:pPr>
        <w:spacing w:after="0" w:line="240" w:lineRule="auto"/>
        <w:rPr>
          <w:rFonts w:ascii="Arial" w:hAnsi="Arial" w:cs="Arial"/>
          <w:sz w:val="24"/>
          <w:szCs w:val="24"/>
        </w:rPr>
        <w:sectPr w:rsidR="00103405" w:rsidSect="00EA1938">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40" w:right="1440" w:bottom="1440" w:left="851" w:header="709" w:footer="709" w:gutter="0"/>
          <w:cols w:space="708"/>
          <w:docGrid w:linePitch="360"/>
        </w:sectPr>
      </w:pPr>
    </w:p>
    <w:p w:rsidR="0045161A" w:rsidRDefault="002B6D5C" w:rsidP="0045161A">
      <w:pPr>
        <w:spacing w:after="0" w:line="240" w:lineRule="auto"/>
        <w:rPr>
          <w:rFonts w:ascii="Arial" w:hAnsi="Arial" w:cs="Arial"/>
          <w:sz w:val="24"/>
          <w:szCs w:val="24"/>
        </w:rPr>
      </w:pPr>
      <w:r>
        <w:rPr>
          <w:rFonts w:ascii="Arial" w:hAnsi="Arial" w:cs="Arial"/>
          <w:sz w:val="24"/>
          <w:szCs w:val="24"/>
        </w:rPr>
        <w:lastRenderedPageBreak/>
        <w:t>Alex Weir</w:t>
      </w:r>
      <w:r w:rsidR="0045161A">
        <w:rPr>
          <w:rFonts w:ascii="Arial" w:hAnsi="Arial" w:cs="Arial"/>
          <w:sz w:val="24"/>
          <w:szCs w:val="24"/>
        </w:rPr>
        <w:t xml:space="preserve"> (chair)</w:t>
      </w:r>
    </w:p>
    <w:p w:rsidR="002F4A00" w:rsidRDefault="002F4A00" w:rsidP="0045161A">
      <w:pPr>
        <w:spacing w:after="0" w:line="240" w:lineRule="auto"/>
        <w:rPr>
          <w:rFonts w:ascii="Arial" w:hAnsi="Arial" w:cs="Arial"/>
          <w:sz w:val="24"/>
          <w:szCs w:val="24"/>
        </w:rPr>
      </w:pPr>
      <w:r>
        <w:rPr>
          <w:rFonts w:ascii="Arial" w:hAnsi="Arial" w:cs="Arial"/>
          <w:sz w:val="24"/>
          <w:szCs w:val="24"/>
        </w:rPr>
        <w:t>Tim Warham</w:t>
      </w:r>
    </w:p>
    <w:p w:rsidR="0045161A" w:rsidRDefault="00923067" w:rsidP="0045161A">
      <w:pPr>
        <w:spacing w:after="0" w:line="240" w:lineRule="auto"/>
        <w:rPr>
          <w:rFonts w:ascii="Arial" w:hAnsi="Arial" w:cs="Arial"/>
          <w:sz w:val="24"/>
          <w:szCs w:val="24"/>
        </w:rPr>
      </w:pPr>
      <w:r>
        <w:rPr>
          <w:rFonts w:ascii="Arial" w:hAnsi="Arial" w:cs="Arial"/>
          <w:sz w:val="24"/>
          <w:szCs w:val="24"/>
        </w:rPr>
        <w:t>Darryl Croft</w:t>
      </w:r>
    </w:p>
    <w:p w:rsidR="00923067" w:rsidRDefault="00923067" w:rsidP="0045161A">
      <w:pPr>
        <w:spacing w:after="0" w:line="240" w:lineRule="auto"/>
        <w:rPr>
          <w:rFonts w:ascii="Arial" w:hAnsi="Arial" w:cs="Arial"/>
          <w:sz w:val="24"/>
          <w:szCs w:val="24"/>
        </w:rPr>
      </w:pPr>
      <w:r>
        <w:rPr>
          <w:rFonts w:ascii="Arial" w:hAnsi="Arial" w:cs="Arial"/>
          <w:sz w:val="24"/>
          <w:szCs w:val="24"/>
        </w:rPr>
        <w:t>Matt Coyne</w:t>
      </w:r>
    </w:p>
    <w:p w:rsidR="0045161A" w:rsidRDefault="0045161A" w:rsidP="0045161A">
      <w:pPr>
        <w:spacing w:after="0" w:line="240" w:lineRule="auto"/>
        <w:rPr>
          <w:rFonts w:ascii="Arial" w:hAnsi="Arial" w:cs="Arial"/>
          <w:sz w:val="24"/>
          <w:szCs w:val="24"/>
        </w:rPr>
      </w:pPr>
      <w:r>
        <w:rPr>
          <w:rFonts w:ascii="Arial" w:hAnsi="Arial" w:cs="Arial"/>
          <w:sz w:val="24"/>
          <w:szCs w:val="24"/>
        </w:rPr>
        <w:lastRenderedPageBreak/>
        <w:t>Jessica Henry</w:t>
      </w:r>
    </w:p>
    <w:p w:rsidR="00103405" w:rsidRDefault="00103405" w:rsidP="0045161A">
      <w:pPr>
        <w:spacing w:after="0" w:line="240" w:lineRule="auto"/>
        <w:rPr>
          <w:rFonts w:ascii="Arial" w:hAnsi="Arial" w:cs="Arial"/>
          <w:sz w:val="24"/>
          <w:szCs w:val="24"/>
        </w:rPr>
      </w:pPr>
      <w:r>
        <w:rPr>
          <w:rFonts w:ascii="Arial" w:hAnsi="Arial" w:cs="Arial"/>
          <w:sz w:val="24"/>
          <w:szCs w:val="24"/>
        </w:rPr>
        <w:t>Adam Harper</w:t>
      </w:r>
    </w:p>
    <w:p w:rsidR="00103405" w:rsidRDefault="00103405" w:rsidP="0045161A">
      <w:pPr>
        <w:spacing w:after="0" w:line="240" w:lineRule="auto"/>
        <w:rPr>
          <w:rFonts w:ascii="Arial" w:hAnsi="Arial" w:cs="Arial"/>
          <w:sz w:val="24"/>
          <w:szCs w:val="24"/>
        </w:rPr>
      </w:pPr>
      <w:r>
        <w:rPr>
          <w:rFonts w:ascii="Arial" w:hAnsi="Arial" w:cs="Arial"/>
          <w:sz w:val="24"/>
          <w:szCs w:val="24"/>
        </w:rPr>
        <w:t>Michelle Toussaint-Bourne</w:t>
      </w:r>
    </w:p>
    <w:p w:rsidR="00103405" w:rsidRPr="00846EE2" w:rsidRDefault="00103405" w:rsidP="0045161A">
      <w:pPr>
        <w:spacing w:after="0" w:line="240" w:lineRule="auto"/>
        <w:rPr>
          <w:rFonts w:ascii="Arial" w:hAnsi="Arial" w:cs="Arial"/>
          <w:sz w:val="24"/>
          <w:szCs w:val="24"/>
        </w:rPr>
      </w:pPr>
      <w:r>
        <w:rPr>
          <w:rFonts w:ascii="Arial" w:hAnsi="Arial" w:cs="Arial"/>
          <w:sz w:val="24"/>
          <w:szCs w:val="24"/>
        </w:rPr>
        <w:t>Helena Crow</w:t>
      </w:r>
    </w:p>
    <w:p w:rsidR="00103405" w:rsidRDefault="00103405" w:rsidP="00533527">
      <w:pPr>
        <w:spacing w:after="0" w:line="240" w:lineRule="auto"/>
        <w:rPr>
          <w:rFonts w:ascii="Arial" w:hAnsi="Arial" w:cs="Arial"/>
          <w:b/>
          <w:sz w:val="24"/>
          <w:szCs w:val="24"/>
          <w:u w:val="single"/>
        </w:rPr>
        <w:sectPr w:rsidR="00103405" w:rsidSect="00103405">
          <w:type w:val="continuous"/>
          <w:pgSz w:w="11906" w:h="16838" w:code="9"/>
          <w:pgMar w:top="1440" w:right="1440" w:bottom="1440" w:left="851" w:header="709" w:footer="709" w:gutter="0"/>
          <w:cols w:num="2" w:space="708"/>
          <w:docGrid w:linePitch="360"/>
        </w:sectPr>
      </w:pPr>
    </w:p>
    <w:p w:rsidR="00533527" w:rsidRPr="00533527" w:rsidRDefault="00533527" w:rsidP="00533527">
      <w:pPr>
        <w:spacing w:after="0" w:line="240" w:lineRule="auto"/>
        <w:rPr>
          <w:rFonts w:ascii="Arial" w:hAnsi="Arial" w:cs="Arial"/>
          <w:b/>
          <w:sz w:val="24"/>
          <w:szCs w:val="24"/>
          <w:u w:val="single"/>
        </w:rPr>
      </w:pPr>
    </w:p>
    <w:p w:rsidR="00CE79F4" w:rsidRPr="00533527" w:rsidRDefault="00AF218C" w:rsidP="00533527">
      <w:pPr>
        <w:spacing w:after="0" w:line="240" w:lineRule="auto"/>
        <w:rPr>
          <w:rFonts w:ascii="Arial" w:hAnsi="Arial" w:cs="Arial"/>
          <w:b/>
          <w:sz w:val="24"/>
          <w:szCs w:val="24"/>
          <w:u w:val="single"/>
        </w:rPr>
      </w:pPr>
      <w:r>
        <w:rPr>
          <w:rFonts w:ascii="Arial" w:hAnsi="Arial" w:cs="Arial"/>
          <w:b/>
          <w:sz w:val="24"/>
          <w:szCs w:val="24"/>
          <w:u w:val="single"/>
        </w:rPr>
        <w:t xml:space="preserve">Advisory </w:t>
      </w:r>
      <w:r w:rsidR="00B378E4">
        <w:rPr>
          <w:rFonts w:ascii="Arial" w:hAnsi="Arial" w:cs="Arial"/>
          <w:b/>
          <w:sz w:val="24"/>
          <w:szCs w:val="24"/>
          <w:u w:val="single"/>
        </w:rPr>
        <w:t xml:space="preserve">Group </w:t>
      </w:r>
      <w:r>
        <w:rPr>
          <w:rFonts w:ascii="Arial" w:hAnsi="Arial" w:cs="Arial"/>
          <w:b/>
          <w:sz w:val="24"/>
          <w:szCs w:val="24"/>
          <w:u w:val="single"/>
        </w:rPr>
        <w:t>attendees</w:t>
      </w:r>
      <w:r w:rsidR="00CE79F4" w:rsidRPr="00533527">
        <w:rPr>
          <w:rFonts w:ascii="Arial" w:hAnsi="Arial" w:cs="Arial"/>
          <w:b/>
          <w:sz w:val="24"/>
          <w:szCs w:val="24"/>
          <w:u w:val="single"/>
        </w:rPr>
        <w:t>:</w:t>
      </w:r>
    </w:p>
    <w:p w:rsidR="00351649" w:rsidRDefault="00351649" w:rsidP="00533527">
      <w:pPr>
        <w:spacing w:after="0" w:line="240" w:lineRule="auto"/>
        <w:rPr>
          <w:rFonts w:ascii="Arial" w:hAnsi="Arial" w:cs="Arial"/>
          <w:sz w:val="24"/>
          <w:szCs w:val="24"/>
        </w:rPr>
      </w:pPr>
      <w:r>
        <w:rPr>
          <w:rFonts w:ascii="Arial" w:hAnsi="Arial" w:cs="Arial"/>
          <w:sz w:val="24"/>
          <w:szCs w:val="24"/>
        </w:rPr>
        <w:t>Maria Paz Garcia Alajarin, EDP Renewables</w:t>
      </w:r>
    </w:p>
    <w:p w:rsidR="00351649" w:rsidRDefault="00351649" w:rsidP="00533527">
      <w:pPr>
        <w:spacing w:after="0" w:line="240" w:lineRule="auto"/>
        <w:rPr>
          <w:rFonts w:ascii="Arial" w:hAnsi="Arial" w:cs="Arial"/>
          <w:sz w:val="24"/>
          <w:szCs w:val="24"/>
        </w:rPr>
      </w:pPr>
      <w:r>
        <w:rPr>
          <w:rFonts w:ascii="Arial" w:hAnsi="Arial" w:cs="Arial"/>
          <w:sz w:val="24"/>
          <w:szCs w:val="24"/>
        </w:rPr>
        <w:t>Andrew MacLellan, Energos</w:t>
      </w:r>
    </w:p>
    <w:p w:rsidR="00351649" w:rsidRDefault="00351649" w:rsidP="00533527">
      <w:pPr>
        <w:spacing w:after="0" w:line="240" w:lineRule="auto"/>
        <w:rPr>
          <w:rFonts w:ascii="Arial" w:hAnsi="Arial" w:cs="Arial"/>
          <w:sz w:val="24"/>
          <w:szCs w:val="24"/>
        </w:rPr>
      </w:pPr>
      <w:r>
        <w:rPr>
          <w:rFonts w:ascii="Arial" w:hAnsi="Arial" w:cs="Arial"/>
          <w:sz w:val="24"/>
          <w:szCs w:val="24"/>
        </w:rPr>
        <w:t>Ravi Baga, EDF</w:t>
      </w:r>
    </w:p>
    <w:p w:rsidR="00C72A23" w:rsidRDefault="00C72A23" w:rsidP="00533527">
      <w:pPr>
        <w:spacing w:after="0" w:line="240" w:lineRule="auto"/>
        <w:rPr>
          <w:rFonts w:ascii="Arial" w:hAnsi="Arial" w:cs="Arial"/>
          <w:sz w:val="24"/>
          <w:szCs w:val="24"/>
        </w:rPr>
      </w:pPr>
      <w:r>
        <w:rPr>
          <w:rFonts w:ascii="Arial" w:hAnsi="Arial" w:cs="Arial"/>
          <w:sz w:val="24"/>
          <w:szCs w:val="24"/>
        </w:rPr>
        <w:t>Stuart Noble, Scottish Power</w:t>
      </w:r>
    </w:p>
    <w:p w:rsidR="00C72A23" w:rsidRDefault="00C72A23" w:rsidP="00533527">
      <w:pPr>
        <w:spacing w:after="0" w:line="240" w:lineRule="auto"/>
        <w:rPr>
          <w:rFonts w:ascii="Arial" w:hAnsi="Arial" w:cs="Arial"/>
          <w:sz w:val="24"/>
          <w:szCs w:val="24"/>
        </w:rPr>
      </w:pPr>
      <w:r>
        <w:rPr>
          <w:rFonts w:ascii="Arial" w:hAnsi="Arial" w:cs="Arial"/>
          <w:sz w:val="24"/>
          <w:szCs w:val="24"/>
        </w:rPr>
        <w:t>Christian Pegrum, Eon</w:t>
      </w:r>
    </w:p>
    <w:p w:rsidR="00923067" w:rsidRDefault="00923067" w:rsidP="00533527">
      <w:pPr>
        <w:spacing w:after="0" w:line="240" w:lineRule="auto"/>
        <w:rPr>
          <w:rFonts w:ascii="Arial" w:hAnsi="Arial" w:cs="Arial"/>
          <w:sz w:val="24"/>
          <w:szCs w:val="24"/>
        </w:rPr>
      </w:pPr>
      <w:r>
        <w:rPr>
          <w:rFonts w:ascii="Arial" w:hAnsi="Arial" w:cs="Arial"/>
          <w:sz w:val="24"/>
          <w:szCs w:val="24"/>
        </w:rPr>
        <w:t>Phil Broom, GDF Suez</w:t>
      </w:r>
    </w:p>
    <w:p w:rsidR="00923067" w:rsidRDefault="00923067" w:rsidP="00533527">
      <w:pPr>
        <w:spacing w:after="0" w:line="240" w:lineRule="auto"/>
        <w:rPr>
          <w:rFonts w:ascii="Arial" w:hAnsi="Arial" w:cs="Arial"/>
          <w:sz w:val="24"/>
          <w:szCs w:val="24"/>
        </w:rPr>
      </w:pPr>
      <w:r>
        <w:rPr>
          <w:rFonts w:ascii="Arial" w:hAnsi="Arial" w:cs="Arial"/>
          <w:sz w:val="24"/>
          <w:szCs w:val="24"/>
        </w:rPr>
        <w:t>Charlie Garrood, PwC</w:t>
      </w:r>
    </w:p>
    <w:p w:rsidR="00351649" w:rsidRDefault="00351649" w:rsidP="00533527">
      <w:pPr>
        <w:spacing w:after="0" w:line="240" w:lineRule="auto"/>
        <w:rPr>
          <w:rFonts w:ascii="Arial" w:hAnsi="Arial" w:cs="Arial"/>
          <w:sz w:val="24"/>
          <w:szCs w:val="24"/>
        </w:rPr>
      </w:pPr>
      <w:r>
        <w:rPr>
          <w:rFonts w:ascii="Arial" w:hAnsi="Arial" w:cs="Arial"/>
          <w:sz w:val="24"/>
          <w:szCs w:val="24"/>
        </w:rPr>
        <w:t>Martin Bell, Ofgem</w:t>
      </w:r>
    </w:p>
    <w:p w:rsidR="00923067" w:rsidRDefault="00923067" w:rsidP="00533527">
      <w:pPr>
        <w:spacing w:after="0" w:line="240" w:lineRule="auto"/>
        <w:rPr>
          <w:rFonts w:ascii="Arial" w:hAnsi="Arial" w:cs="Arial"/>
          <w:sz w:val="24"/>
          <w:szCs w:val="24"/>
        </w:rPr>
      </w:pPr>
      <w:r>
        <w:rPr>
          <w:rFonts w:ascii="Arial" w:hAnsi="Arial" w:cs="Arial"/>
          <w:sz w:val="24"/>
          <w:szCs w:val="24"/>
        </w:rPr>
        <w:t>David Handley</w:t>
      </w:r>
      <w:r w:rsidR="00103405">
        <w:rPr>
          <w:rFonts w:ascii="Arial" w:hAnsi="Arial" w:cs="Arial"/>
          <w:sz w:val="24"/>
          <w:szCs w:val="24"/>
        </w:rPr>
        <w:t>, RES</w:t>
      </w:r>
    </w:p>
    <w:p w:rsidR="00103405" w:rsidRDefault="00103405" w:rsidP="00103405">
      <w:pPr>
        <w:spacing w:after="0" w:line="240" w:lineRule="auto"/>
        <w:rPr>
          <w:rFonts w:ascii="Arial" w:hAnsi="Arial" w:cs="Arial"/>
          <w:sz w:val="24"/>
          <w:szCs w:val="24"/>
        </w:rPr>
      </w:pPr>
      <w:r>
        <w:rPr>
          <w:rFonts w:ascii="Arial" w:hAnsi="Arial" w:cs="Arial"/>
          <w:sz w:val="24"/>
          <w:szCs w:val="24"/>
        </w:rPr>
        <w:t xml:space="preserve">Simon Proctor, Good Energy </w:t>
      </w:r>
    </w:p>
    <w:p w:rsidR="00103405" w:rsidRDefault="00103405" w:rsidP="00103405">
      <w:pPr>
        <w:spacing w:after="0" w:line="240" w:lineRule="auto"/>
        <w:rPr>
          <w:rFonts w:ascii="Arial" w:hAnsi="Arial" w:cs="Arial"/>
          <w:sz w:val="24"/>
          <w:szCs w:val="24"/>
        </w:rPr>
      </w:pPr>
      <w:r>
        <w:rPr>
          <w:rFonts w:ascii="Arial" w:hAnsi="Arial" w:cs="Arial"/>
          <w:sz w:val="24"/>
          <w:szCs w:val="24"/>
        </w:rPr>
        <w:t>Dima Rifai, Paradigm Change Capital Partners LLP</w:t>
      </w:r>
    </w:p>
    <w:p w:rsidR="00103405" w:rsidRDefault="00103405" w:rsidP="00103405">
      <w:pPr>
        <w:spacing w:after="0" w:line="240" w:lineRule="auto"/>
        <w:rPr>
          <w:rFonts w:ascii="Arial" w:hAnsi="Arial" w:cs="Arial"/>
          <w:sz w:val="24"/>
          <w:szCs w:val="24"/>
        </w:rPr>
      </w:pPr>
      <w:r>
        <w:rPr>
          <w:rFonts w:ascii="Arial" w:hAnsi="Arial" w:cs="Arial"/>
          <w:sz w:val="24"/>
          <w:szCs w:val="24"/>
        </w:rPr>
        <w:t>Nick Gardiner, BNP Paribas</w:t>
      </w:r>
    </w:p>
    <w:p w:rsidR="00D17655" w:rsidRDefault="00D17655" w:rsidP="00103405">
      <w:pPr>
        <w:spacing w:after="0" w:line="240" w:lineRule="auto"/>
        <w:rPr>
          <w:rFonts w:ascii="Arial" w:hAnsi="Arial" w:cs="Arial"/>
          <w:sz w:val="24"/>
          <w:szCs w:val="24"/>
        </w:rPr>
      </w:pPr>
      <w:r>
        <w:rPr>
          <w:rFonts w:ascii="Arial" w:hAnsi="Arial" w:cs="Arial"/>
          <w:sz w:val="24"/>
          <w:szCs w:val="24"/>
        </w:rPr>
        <w:t xml:space="preserve">Edward </w:t>
      </w:r>
      <w:r w:rsidRPr="00D17655">
        <w:rPr>
          <w:rFonts w:ascii="Arial" w:hAnsi="Arial" w:cs="Arial"/>
          <w:sz w:val="24"/>
          <w:szCs w:val="24"/>
        </w:rPr>
        <w:t>Crosthwaite</w:t>
      </w:r>
      <w:r>
        <w:rPr>
          <w:rFonts w:ascii="Arial" w:hAnsi="Arial" w:cs="Arial"/>
          <w:sz w:val="24"/>
          <w:szCs w:val="24"/>
        </w:rPr>
        <w:t xml:space="preserve"> </w:t>
      </w:r>
      <w:r w:rsidRPr="00D17655">
        <w:rPr>
          <w:rFonts w:ascii="Arial" w:hAnsi="Arial" w:cs="Arial"/>
          <w:sz w:val="24"/>
          <w:szCs w:val="24"/>
        </w:rPr>
        <w:t>Eyre</w:t>
      </w:r>
      <w:r>
        <w:rPr>
          <w:rFonts w:ascii="Arial" w:hAnsi="Arial" w:cs="Arial"/>
          <w:sz w:val="24"/>
          <w:szCs w:val="24"/>
        </w:rPr>
        <w:t>, Baringa</w:t>
      </w:r>
    </w:p>
    <w:p w:rsidR="00D17655" w:rsidRPr="00C365AD" w:rsidRDefault="00D17655" w:rsidP="00103405">
      <w:pPr>
        <w:spacing w:after="0" w:line="240" w:lineRule="auto"/>
        <w:rPr>
          <w:rFonts w:ascii="Arial" w:hAnsi="Arial" w:cs="Arial"/>
          <w:sz w:val="24"/>
          <w:szCs w:val="24"/>
        </w:rPr>
      </w:pPr>
    </w:p>
    <w:p w:rsidR="00E3095F" w:rsidRDefault="00E3095F" w:rsidP="00E3095F">
      <w:pPr>
        <w:spacing w:after="0" w:line="240" w:lineRule="auto"/>
        <w:rPr>
          <w:rFonts w:ascii="Arial" w:hAnsi="Arial" w:cs="Arial"/>
          <w:b/>
          <w:sz w:val="24"/>
          <w:szCs w:val="24"/>
          <w:u w:val="single"/>
        </w:rPr>
      </w:pPr>
      <w:r w:rsidRPr="00E052B7">
        <w:rPr>
          <w:rFonts w:ascii="Arial" w:hAnsi="Arial" w:cs="Arial"/>
          <w:b/>
          <w:sz w:val="24"/>
          <w:szCs w:val="24"/>
          <w:u w:val="single"/>
        </w:rPr>
        <w:t>Apologies:</w:t>
      </w:r>
    </w:p>
    <w:p w:rsidR="00103405" w:rsidRPr="00E052B7" w:rsidRDefault="00103405" w:rsidP="00E3095F">
      <w:pPr>
        <w:spacing w:after="0" w:line="240" w:lineRule="auto"/>
        <w:rPr>
          <w:rFonts w:ascii="Arial" w:hAnsi="Arial" w:cs="Arial"/>
          <w:b/>
          <w:sz w:val="24"/>
          <w:szCs w:val="24"/>
          <w:u w:val="single"/>
        </w:rPr>
      </w:pPr>
      <w:r>
        <w:rPr>
          <w:rFonts w:ascii="Arial" w:hAnsi="Arial" w:cs="Arial"/>
          <w:sz w:val="24"/>
          <w:szCs w:val="24"/>
        </w:rPr>
        <w:t>Robert Owens, Smartest Energy</w:t>
      </w:r>
    </w:p>
    <w:p w:rsidR="00AF218C" w:rsidRDefault="00AF218C" w:rsidP="00AF218C">
      <w:pPr>
        <w:spacing w:after="0" w:line="240" w:lineRule="auto"/>
        <w:rPr>
          <w:rFonts w:ascii="Arial" w:hAnsi="Arial" w:cs="Arial"/>
          <w:sz w:val="24"/>
          <w:szCs w:val="24"/>
        </w:rPr>
      </w:pPr>
      <w:r>
        <w:rPr>
          <w:rFonts w:ascii="Arial" w:hAnsi="Arial" w:cs="Arial"/>
          <w:sz w:val="24"/>
          <w:szCs w:val="24"/>
        </w:rPr>
        <w:t>Keith Patterson, Brodies</w:t>
      </w:r>
    </w:p>
    <w:p w:rsidR="00AF218C" w:rsidRDefault="00AF218C" w:rsidP="00AF218C">
      <w:pPr>
        <w:spacing w:after="0" w:line="240" w:lineRule="auto"/>
        <w:rPr>
          <w:rFonts w:ascii="Arial" w:hAnsi="Arial" w:cs="Arial"/>
          <w:sz w:val="24"/>
          <w:szCs w:val="24"/>
        </w:rPr>
      </w:pPr>
      <w:r>
        <w:rPr>
          <w:rFonts w:ascii="Arial" w:hAnsi="Arial" w:cs="Arial"/>
          <w:sz w:val="24"/>
          <w:szCs w:val="24"/>
        </w:rPr>
        <w:t>Konstantin Suplatov, PwC</w:t>
      </w:r>
    </w:p>
    <w:p w:rsidR="00AF218C" w:rsidRDefault="00AF218C" w:rsidP="00AF218C">
      <w:pPr>
        <w:spacing w:after="0" w:line="240" w:lineRule="auto"/>
        <w:rPr>
          <w:rFonts w:ascii="Arial" w:hAnsi="Arial" w:cs="Arial"/>
          <w:sz w:val="24"/>
          <w:szCs w:val="24"/>
        </w:rPr>
      </w:pPr>
      <w:r>
        <w:rPr>
          <w:rFonts w:ascii="Arial" w:hAnsi="Arial" w:cs="Arial"/>
          <w:sz w:val="24"/>
          <w:szCs w:val="24"/>
        </w:rPr>
        <w:t xml:space="preserve">Ben Cosh, Green Company </w:t>
      </w:r>
    </w:p>
    <w:p w:rsidR="00292E94" w:rsidRPr="00D44139" w:rsidRDefault="00292E94" w:rsidP="00D44139">
      <w:pPr>
        <w:spacing w:after="0" w:line="240" w:lineRule="auto"/>
        <w:rPr>
          <w:rFonts w:ascii="Arial" w:hAnsi="Arial" w:cs="Arial"/>
          <w:b/>
          <w:sz w:val="28"/>
          <w:szCs w:val="28"/>
        </w:rPr>
      </w:pPr>
    </w:p>
    <w:tbl>
      <w:tblPr>
        <w:tblpPr w:leftFromText="180" w:rightFromText="180" w:vertAnchor="text" w:horzAnchor="margin" w:tblpX="-68" w:tblpY="248"/>
        <w:tblW w:w="10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493"/>
        <w:gridCol w:w="41"/>
        <w:gridCol w:w="3079"/>
        <w:gridCol w:w="39"/>
        <w:gridCol w:w="4394"/>
        <w:gridCol w:w="284"/>
        <w:gridCol w:w="1843"/>
        <w:gridCol w:w="635"/>
      </w:tblGrid>
      <w:tr w:rsidR="00EA1938" w:rsidRPr="00072629" w:rsidTr="003053C3">
        <w:trPr>
          <w:trHeight w:val="843"/>
        </w:trPr>
        <w:tc>
          <w:tcPr>
            <w:tcW w:w="493" w:type="dxa"/>
            <w:shd w:val="clear" w:color="auto" w:fill="FFFFFF"/>
          </w:tcPr>
          <w:p w:rsidR="00657DA3" w:rsidRPr="00072629" w:rsidRDefault="00657DA3" w:rsidP="00EA1938">
            <w:pPr>
              <w:pStyle w:val="ListParagraph"/>
              <w:numPr>
                <w:ilvl w:val="0"/>
                <w:numId w:val="1"/>
              </w:numPr>
              <w:spacing w:after="0" w:line="240" w:lineRule="auto"/>
              <w:ind w:left="426" w:hanging="426"/>
              <w:rPr>
                <w:rFonts w:ascii="Arial" w:hAnsi="Arial" w:cs="Arial"/>
                <w:sz w:val="24"/>
                <w:szCs w:val="24"/>
              </w:rPr>
            </w:pPr>
          </w:p>
        </w:tc>
        <w:tc>
          <w:tcPr>
            <w:tcW w:w="3120" w:type="dxa"/>
            <w:gridSpan w:val="2"/>
            <w:shd w:val="clear" w:color="auto" w:fill="FFFFFF"/>
          </w:tcPr>
          <w:p w:rsidR="00657DA3" w:rsidRPr="00072629" w:rsidRDefault="00103405" w:rsidP="00EA1938">
            <w:pPr>
              <w:pStyle w:val="ListParagraph"/>
              <w:spacing w:after="0" w:line="240" w:lineRule="auto"/>
              <w:ind w:left="0"/>
              <w:rPr>
                <w:rFonts w:ascii="Arial" w:hAnsi="Arial" w:cs="Arial"/>
                <w:b/>
                <w:sz w:val="24"/>
                <w:szCs w:val="24"/>
              </w:rPr>
            </w:pPr>
            <w:r>
              <w:rPr>
                <w:rFonts w:ascii="Arial" w:hAnsi="Arial" w:cs="Arial"/>
                <w:b/>
                <w:sz w:val="24"/>
                <w:szCs w:val="24"/>
              </w:rPr>
              <w:t>Scheme Review</w:t>
            </w:r>
          </w:p>
        </w:tc>
        <w:tc>
          <w:tcPr>
            <w:tcW w:w="4717" w:type="dxa"/>
            <w:gridSpan w:val="3"/>
            <w:shd w:val="clear" w:color="auto" w:fill="FFFFFF"/>
          </w:tcPr>
          <w:p w:rsidR="00657DA3" w:rsidRPr="00072629" w:rsidRDefault="00103405" w:rsidP="00EA1938">
            <w:pPr>
              <w:pStyle w:val="ListParagraph"/>
              <w:spacing w:after="0" w:line="240" w:lineRule="auto"/>
              <w:ind w:left="0"/>
              <w:rPr>
                <w:rFonts w:ascii="Arial" w:hAnsi="Arial" w:cs="Arial"/>
                <w:b/>
                <w:sz w:val="24"/>
                <w:szCs w:val="24"/>
              </w:rPr>
            </w:pPr>
            <w:r>
              <w:rPr>
                <w:rFonts w:ascii="Arial" w:hAnsi="Arial" w:cs="Arial"/>
                <w:b/>
                <w:sz w:val="24"/>
                <w:szCs w:val="24"/>
              </w:rPr>
              <w:t>Paper 2.02 Scheme Review</w:t>
            </w:r>
          </w:p>
        </w:tc>
        <w:tc>
          <w:tcPr>
            <w:tcW w:w="1843" w:type="dxa"/>
            <w:shd w:val="clear" w:color="auto" w:fill="FFFFFF"/>
          </w:tcPr>
          <w:p w:rsidR="00657DA3" w:rsidRPr="00072629" w:rsidRDefault="00103405" w:rsidP="00EA1938">
            <w:pPr>
              <w:spacing w:after="0" w:line="240" w:lineRule="auto"/>
              <w:rPr>
                <w:rFonts w:ascii="Arial" w:hAnsi="Arial" w:cs="Arial"/>
                <w:b/>
                <w:sz w:val="24"/>
                <w:szCs w:val="24"/>
              </w:rPr>
            </w:pPr>
            <w:r>
              <w:rPr>
                <w:rFonts w:ascii="Arial" w:hAnsi="Arial" w:cs="Arial"/>
                <w:b/>
                <w:sz w:val="24"/>
                <w:szCs w:val="24"/>
              </w:rPr>
              <w:t>Adam Harper</w:t>
            </w:r>
          </w:p>
        </w:tc>
        <w:tc>
          <w:tcPr>
            <w:tcW w:w="635" w:type="dxa"/>
            <w:shd w:val="clear" w:color="auto" w:fill="FFFFFF"/>
          </w:tcPr>
          <w:p w:rsidR="00657DA3" w:rsidRPr="00072629" w:rsidRDefault="00657DA3" w:rsidP="00EA1938">
            <w:pPr>
              <w:pStyle w:val="ListParagraph"/>
              <w:spacing w:after="0" w:line="240" w:lineRule="auto"/>
              <w:ind w:left="0"/>
              <w:rPr>
                <w:rFonts w:ascii="Arial" w:hAnsi="Arial" w:cs="Arial"/>
                <w:b/>
                <w:sz w:val="24"/>
                <w:szCs w:val="24"/>
              </w:rPr>
            </w:pPr>
          </w:p>
        </w:tc>
      </w:tr>
      <w:tr w:rsidR="00EA1938" w:rsidRPr="00072629" w:rsidTr="003053C3">
        <w:trPr>
          <w:trHeight w:val="1406"/>
        </w:trPr>
        <w:tc>
          <w:tcPr>
            <w:tcW w:w="10808" w:type="dxa"/>
            <w:gridSpan w:val="8"/>
            <w:shd w:val="clear" w:color="auto" w:fill="FFFFFF"/>
          </w:tcPr>
          <w:p w:rsidR="003053C3" w:rsidRDefault="003053C3" w:rsidP="00EA1938">
            <w:pPr>
              <w:spacing w:after="0" w:line="240" w:lineRule="auto"/>
              <w:rPr>
                <w:rFonts w:ascii="Arial" w:hAnsi="Arial" w:cs="Arial"/>
                <w:sz w:val="24"/>
                <w:szCs w:val="24"/>
              </w:rPr>
            </w:pPr>
            <w:bookmarkStart w:id="1" w:name="_Hlk322415470"/>
          </w:p>
          <w:p w:rsidR="003053C3" w:rsidRPr="00CC4DB5" w:rsidRDefault="00103405" w:rsidP="00CC4DB5">
            <w:pPr>
              <w:spacing w:after="0"/>
              <w:rPr>
                <w:rFonts w:ascii="Arial" w:hAnsi="Arial" w:cs="Arial"/>
                <w:sz w:val="24"/>
                <w:szCs w:val="24"/>
              </w:rPr>
            </w:pPr>
            <w:r>
              <w:rPr>
                <w:rFonts w:ascii="Arial" w:hAnsi="Arial" w:cs="Arial"/>
                <w:sz w:val="24"/>
                <w:szCs w:val="24"/>
              </w:rPr>
              <w:t xml:space="preserve">After </w:t>
            </w:r>
            <w:r w:rsidRPr="00CC4DB5">
              <w:rPr>
                <w:rFonts w:ascii="Arial" w:hAnsi="Arial" w:cs="Arial"/>
                <w:sz w:val="24"/>
                <w:szCs w:val="24"/>
              </w:rPr>
              <w:t>introductions</w:t>
            </w:r>
            <w:r w:rsidR="00AF2DEF">
              <w:rPr>
                <w:rFonts w:ascii="Arial" w:hAnsi="Arial" w:cs="Arial"/>
                <w:sz w:val="24"/>
                <w:szCs w:val="24"/>
              </w:rPr>
              <w:t>,</w:t>
            </w:r>
            <w:r w:rsidRPr="00CC4DB5">
              <w:rPr>
                <w:rFonts w:ascii="Arial" w:hAnsi="Arial" w:cs="Arial"/>
                <w:sz w:val="24"/>
                <w:szCs w:val="24"/>
              </w:rPr>
              <w:t xml:space="preserve"> Adam Harper (AH) </w:t>
            </w:r>
            <w:r w:rsidR="008E37A9" w:rsidRPr="00CC4DB5">
              <w:rPr>
                <w:rFonts w:ascii="Arial" w:hAnsi="Arial" w:cs="Arial"/>
                <w:sz w:val="24"/>
                <w:szCs w:val="24"/>
              </w:rPr>
              <w:t>presented paper 2.02 on the proposal</w:t>
            </w:r>
            <w:r w:rsidRPr="00CC4DB5">
              <w:rPr>
                <w:rFonts w:ascii="Arial" w:hAnsi="Arial" w:cs="Arial"/>
                <w:sz w:val="24"/>
                <w:szCs w:val="24"/>
              </w:rPr>
              <w:t xml:space="preserve"> for the scheme review of the </w:t>
            </w:r>
            <w:r w:rsidR="008E37A9" w:rsidRPr="00CC4DB5">
              <w:rPr>
                <w:rFonts w:ascii="Arial" w:hAnsi="Arial" w:cs="Arial"/>
                <w:sz w:val="24"/>
                <w:szCs w:val="24"/>
              </w:rPr>
              <w:t>offtaker of last resort</w:t>
            </w:r>
            <w:r w:rsidRPr="00CC4DB5">
              <w:rPr>
                <w:rFonts w:ascii="Arial" w:hAnsi="Arial" w:cs="Arial"/>
                <w:sz w:val="24"/>
                <w:szCs w:val="24"/>
              </w:rPr>
              <w:t xml:space="preserve"> mechanism. </w:t>
            </w:r>
          </w:p>
          <w:p w:rsidR="008E37A9" w:rsidRPr="00CC4DB5" w:rsidRDefault="008E37A9" w:rsidP="00CC4DB5">
            <w:pPr>
              <w:spacing w:after="0"/>
              <w:rPr>
                <w:rFonts w:ascii="Arial" w:hAnsi="Arial" w:cs="Arial"/>
                <w:sz w:val="24"/>
                <w:szCs w:val="24"/>
              </w:rPr>
            </w:pPr>
          </w:p>
          <w:p w:rsidR="008E37A9" w:rsidRPr="00CC4DB5" w:rsidRDefault="00AF218C" w:rsidP="00CC4DB5">
            <w:pPr>
              <w:spacing w:after="0"/>
              <w:rPr>
                <w:rFonts w:ascii="Arial" w:hAnsi="Arial" w:cs="Arial"/>
                <w:sz w:val="24"/>
                <w:szCs w:val="24"/>
              </w:rPr>
            </w:pPr>
            <w:r>
              <w:rPr>
                <w:rFonts w:ascii="Arial" w:hAnsi="Arial" w:cs="Arial"/>
                <w:sz w:val="24"/>
                <w:szCs w:val="24"/>
              </w:rPr>
              <w:t>T</w:t>
            </w:r>
            <w:r w:rsidR="00334C07">
              <w:rPr>
                <w:rFonts w:ascii="Arial" w:hAnsi="Arial" w:cs="Arial"/>
                <w:sz w:val="24"/>
                <w:szCs w:val="24"/>
              </w:rPr>
              <w:t xml:space="preserve">he following </w:t>
            </w:r>
            <w:r w:rsidR="008E37A9" w:rsidRPr="00CC4DB5">
              <w:rPr>
                <w:rFonts w:ascii="Arial" w:hAnsi="Arial" w:cs="Arial"/>
                <w:sz w:val="24"/>
                <w:szCs w:val="24"/>
              </w:rPr>
              <w:t xml:space="preserve">points </w:t>
            </w:r>
            <w:r>
              <w:rPr>
                <w:rFonts w:ascii="Arial" w:hAnsi="Arial" w:cs="Arial"/>
                <w:sz w:val="24"/>
                <w:szCs w:val="24"/>
              </w:rPr>
              <w:t xml:space="preserve">were </w:t>
            </w:r>
            <w:r w:rsidR="008E37A9" w:rsidRPr="00CC4DB5">
              <w:rPr>
                <w:rFonts w:ascii="Arial" w:hAnsi="Arial" w:cs="Arial"/>
                <w:sz w:val="24"/>
                <w:szCs w:val="24"/>
              </w:rPr>
              <w:t>raised</w:t>
            </w:r>
            <w:r>
              <w:rPr>
                <w:rFonts w:ascii="Arial" w:hAnsi="Arial" w:cs="Arial"/>
                <w:sz w:val="24"/>
                <w:szCs w:val="24"/>
              </w:rPr>
              <w:t xml:space="preserve"> in discussion of the options for scheme review</w:t>
            </w:r>
            <w:r w:rsidR="008E37A9" w:rsidRPr="00CC4DB5">
              <w:rPr>
                <w:rFonts w:ascii="Arial" w:hAnsi="Arial" w:cs="Arial"/>
                <w:sz w:val="24"/>
                <w:szCs w:val="24"/>
              </w:rPr>
              <w:t xml:space="preserve">: </w:t>
            </w:r>
          </w:p>
          <w:p w:rsidR="008E37A9" w:rsidRPr="00CC4DB5" w:rsidRDefault="000B6A3B" w:rsidP="00CC4DB5">
            <w:pPr>
              <w:numPr>
                <w:ilvl w:val="0"/>
                <w:numId w:val="39"/>
              </w:numPr>
              <w:spacing w:after="0"/>
              <w:rPr>
                <w:rFonts w:ascii="Arial" w:hAnsi="Arial" w:cs="Arial"/>
                <w:sz w:val="24"/>
                <w:szCs w:val="24"/>
              </w:rPr>
            </w:pPr>
            <w:r>
              <w:rPr>
                <w:rFonts w:ascii="Arial" w:hAnsi="Arial" w:cs="Arial"/>
                <w:sz w:val="24"/>
                <w:szCs w:val="24"/>
              </w:rPr>
              <w:t>Confirmation that</w:t>
            </w:r>
            <w:r w:rsidR="00BA4D06">
              <w:rPr>
                <w:rFonts w:ascii="Arial" w:hAnsi="Arial" w:cs="Arial"/>
                <w:sz w:val="24"/>
                <w:szCs w:val="24"/>
              </w:rPr>
              <w:t>,</w:t>
            </w:r>
            <w:r w:rsidR="000024EE">
              <w:rPr>
                <w:rFonts w:ascii="Arial" w:hAnsi="Arial" w:cs="Arial"/>
                <w:sz w:val="24"/>
                <w:szCs w:val="24"/>
              </w:rPr>
              <w:t xml:space="preserve"> for a specific project</w:t>
            </w:r>
            <w:r w:rsidR="00BA4D06">
              <w:rPr>
                <w:rFonts w:ascii="Arial" w:hAnsi="Arial" w:cs="Arial"/>
                <w:sz w:val="24"/>
                <w:szCs w:val="24"/>
              </w:rPr>
              <w:t>,</w:t>
            </w:r>
            <w:r w:rsidR="000024EE">
              <w:rPr>
                <w:rFonts w:ascii="Arial" w:hAnsi="Arial" w:cs="Arial"/>
                <w:sz w:val="24"/>
                <w:szCs w:val="24"/>
              </w:rPr>
              <w:t xml:space="preserve"> the </w:t>
            </w:r>
            <w:r>
              <w:rPr>
                <w:rFonts w:ascii="Arial" w:hAnsi="Arial" w:cs="Arial"/>
                <w:sz w:val="24"/>
                <w:szCs w:val="24"/>
              </w:rPr>
              <w:t xml:space="preserve">terms of </w:t>
            </w:r>
            <w:r w:rsidR="000024EE">
              <w:rPr>
                <w:rFonts w:ascii="Arial" w:hAnsi="Arial" w:cs="Arial"/>
                <w:sz w:val="24"/>
                <w:szCs w:val="24"/>
              </w:rPr>
              <w:t xml:space="preserve">the </w:t>
            </w:r>
            <w:r>
              <w:rPr>
                <w:rFonts w:ascii="Arial" w:hAnsi="Arial" w:cs="Arial"/>
                <w:sz w:val="24"/>
                <w:szCs w:val="24"/>
              </w:rPr>
              <w:t>OLR would be grandfathered</w:t>
            </w:r>
            <w:r w:rsidR="000024EE">
              <w:rPr>
                <w:rFonts w:ascii="Arial" w:hAnsi="Arial" w:cs="Arial"/>
                <w:sz w:val="24"/>
                <w:szCs w:val="24"/>
              </w:rPr>
              <w:t xml:space="preserve"> at the point of CfD award</w:t>
            </w:r>
            <w:r w:rsidR="00AF2DEF">
              <w:rPr>
                <w:rFonts w:ascii="Arial" w:hAnsi="Arial" w:cs="Arial"/>
                <w:sz w:val="24"/>
                <w:szCs w:val="24"/>
              </w:rPr>
              <w:t>,</w:t>
            </w:r>
            <w:r>
              <w:rPr>
                <w:rFonts w:ascii="Arial" w:hAnsi="Arial" w:cs="Arial"/>
                <w:sz w:val="24"/>
                <w:szCs w:val="24"/>
              </w:rPr>
              <w:t xml:space="preserve"> i.e. a</w:t>
            </w:r>
            <w:r w:rsidR="008E37A9" w:rsidRPr="00CC4DB5">
              <w:rPr>
                <w:rFonts w:ascii="Arial" w:hAnsi="Arial" w:cs="Arial"/>
                <w:sz w:val="24"/>
                <w:szCs w:val="24"/>
              </w:rPr>
              <w:t xml:space="preserve">ny changes </w:t>
            </w:r>
            <w:r>
              <w:rPr>
                <w:rFonts w:ascii="Arial" w:hAnsi="Arial" w:cs="Arial"/>
                <w:sz w:val="24"/>
                <w:szCs w:val="24"/>
              </w:rPr>
              <w:t>resulting from</w:t>
            </w:r>
            <w:r w:rsidR="008E37A9" w:rsidRPr="00CC4DB5">
              <w:rPr>
                <w:rFonts w:ascii="Arial" w:hAnsi="Arial" w:cs="Arial"/>
                <w:sz w:val="24"/>
                <w:szCs w:val="24"/>
              </w:rPr>
              <w:t xml:space="preserve"> a scheme review would only apply to projects</w:t>
            </w:r>
            <w:r>
              <w:rPr>
                <w:rFonts w:ascii="Arial" w:hAnsi="Arial" w:cs="Arial"/>
                <w:sz w:val="24"/>
                <w:szCs w:val="24"/>
              </w:rPr>
              <w:t xml:space="preserve"> that have not yet signed a CfD</w:t>
            </w:r>
            <w:r w:rsidR="008E37A9" w:rsidRPr="00CC4DB5">
              <w:rPr>
                <w:rFonts w:ascii="Arial" w:hAnsi="Arial" w:cs="Arial"/>
                <w:sz w:val="24"/>
                <w:szCs w:val="24"/>
              </w:rPr>
              <w:t xml:space="preserve">. </w:t>
            </w:r>
          </w:p>
          <w:p w:rsidR="000024EE" w:rsidRDefault="000024EE" w:rsidP="00CC4DB5">
            <w:pPr>
              <w:numPr>
                <w:ilvl w:val="0"/>
                <w:numId w:val="39"/>
              </w:numPr>
              <w:spacing w:after="0"/>
              <w:rPr>
                <w:rFonts w:ascii="Arial" w:hAnsi="Arial" w:cs="Arial"/>
                <w:sz w:val="24"/>
                <w:szCs w:val="24"/>
              </w:rPr>
            </w:pPr>
            <w:r>
              <w:rPr>
                <w:rFonts w:ascii="Arial" w:hAnsi="Arial" w:cs="Arial"/>
                <w:sz w:val="24"/>
                <w:szCs w:val="24"/>
              </w:rPr>
              <w:t xml:space="preserve">Changes </w:t>
            </w:r>
            <w:r w:rsidR="008E37A9" w:rsidRPr="00CC4DB5">
              <w:rPr>
                <w:rFonts w:ascii="Arial" w:hAnsi="Arial" w:cs="Arial"/>
                <w:sz w:val="24"/>
                <w:szCs w:val="24"/>
              </w:rPr>
              <w:t xml:space="preserve">to </w:t>
            </w:r>
            <w:r>
              <w:rPr>
                <w:rFonts w:ascii="Arial" w:hAnsi="Arial" w:cs="Arial"/>
                <w:sz w:val="24"/>
                <w:szCs w:val="24"/>
              </w:rPr>
              <w:t xml:space="preserve">the Backstop </w:t>
            </w:r>
            <w:r w:rsidR="008E37A9" w:rsidRPr="00CC4DB5">
              <w:rPr>
                <w:rFonts w:ascii="Arial" w:hAnsi="Arial" w:cs="Arial"/>
                <w:sz w:val="24"/>
                <w:szCs w:val="24"/>
              </w:rPr>
              <w:t>PPA terms</w:t>
            </w:r>
            <w:r>
              <w:rPr>
                <w:rFonts w:ascii="Arial" w:hAnsi="Arial" w:cs="Arial"/>
                <w:sz w:val="24"/>
                <w:szCs w:val="24"/>
              </w:rPr>
              <w:t xml:space="preserve"> that would be considered within the Annual Update</w:t>
            </w:r>
            <w:r w:rsidR="008E37A9" w:rsidRPr="00CC4DB5">
              <w:rPr>
                <w:rFonts w:ascii="Arial" w:hAnsi="Arial" w:cs="Arial"/>
                <w:sz w:val="24"/>
                <w:szCs w:val="24"/>
              </w:rPr>
              <w:t xml:space="preserve"> would only </w:t>
            </w:r>
            <w:r>
              <w:rPr>
                <w:rFonts w:ascii="Arial" w:hAnsi="Arial" w:cs="Arial"/>
                <w:sz w:val="24"/>
                <w:szCs w:val="24"/>
              </w:rPr>
              <w:t xml:space="preserve">be </w:t>
            </w:r>
            <w:r w:rsidR="008E37A9" w:rsidRPr="00CC4DB5">
              <w:rPr>
                <w:rFonts w:ascii="Arial" w:hAnsi="Arial" w:cs="Arial"/>
                <w:sz w:val="24"/>
                <w:szCs w:val="24"/>
              </w:rPr>
              <w:t>appl</w:t>
            </w:r>
            <w:r>
              <w:rPr>
                <w:rFonts w:ascii="Arial" w:hAnsi="Arial" w:cs="Arial"/>
                <w:sz w:val="24"/>
                <w:szCs w:val="24"/>
              </w:rPr>
              <w:t>ied</w:t>
            </w:r>
            <w:r w:rsidR="008E37A9" w:rsidRPr="00CC4DB5">
              <w:rPr>
                <w:rFonts w:ascii="Arial" w:hAnsi="Arial" w:cs="Arial"/>
                <w:sz w:val="24"/>
                <w:szCs w:val="24"/>
              </w:rPr>
              <w:t xml:space="preserve"> if </w:t>
            </w:r>
            <w:r>
              <w:rPr>
                <w:rFonts w:ascii="Arial" w:hAnsi="Arial" w:cs="Arial"/>
                <w:sz w:val="24"/>
                <w:szCs w:val="24"/>
              </w:rPr>
              <w:t xml:space="preserve">PPAs in </w:t>
            </w:r>
            <w:r w:rsidR="008E37A9" w:rsidRPr="00CC4DB5">
              <w:rPr>
                <w:rFonts w:ascii="Arial" w:hAnsi="Arial" w:cs="Arial"/>
                <w:sz w:val="24"/>
                <w:szCs w:val="24"/>
              </w:rPr>
              <w:t>the open market ha</w:t>
            </w:r>
            <w:r w:rsidR="00AF2DEF">
              <w:rPr>
                <w:rFonts w:ascii="Arial" w:hAnsi="Arial" w:cs="Arial"/>
                <w:sz w:val="24"/>
                <w:szCs w:val="24"/>
              </w:rPr>
              <w:t>d</w:t>
            </w:r>
            <w:r w:rsidR="008E37A9" w:rsidRPr="00CC4DB5">
              <w:rPr>
                <w:rFonts w:ascii="Arial" w:hAnsi="Arial" w:cs="Arial"/>
                <w:sz w:val="24"/>
                <w:szCs w:val="24"/>
              </w:rPr>
              <w:t xml:space="preserve"> shifted significantly</w:t>
            </w:r>
            <w:r>
              <w:rPr>
                <w:rFonts w:ascii="Arial" w:hAnsi="Arial" w:cs="Arial"/>
                <w:sz w:val="24"/>
                <w:szCs w:val="24"/>
              </w:rPr>
              <w:t xml:space="preserve"> in nature.  </w:t>
            </w:r>
            <w:r>
              <w:rPr>
                <w:rFonts w:ascii="Arial" w:hAnsi="Arial" w:cs="Arial"/>
                <w:sz w:val="24"/>
                <w:szCs w:val="24"/>
              </w:rPr>
              <w:lastRenderedPageBreak/>
              <w:t>B</w:t>
            </w:r>
            <w:r w:rsidR="008E37A9" w:rsidRPr="00CC4DB5">
              <w:rPr>
                <w:rFonts w:ascii="Arial" w:hAnsi="Arial" w:cs="Arial"/>
                <w:sz w:val="24"/>
                <w:szCs w:val="24"/>
              </w:rPr>
              <w:t>ackstop PPA</w:t>
            </w:r>
            <w:r>
              <w:rPr>
                <w:rFonts w:ascii="Arial" w:hAnsi="Arial" w:cs="Arial"/>
                <w:sz w:val="24"/>
                <w:szCs w:val="24"/>
              </w:rPr>
              <w:t xml:space="preserve"> terms </w:t>
            </w:r>
            <w:r w:rsidR="00AF218C">
              <w:rPr>
                <w:rFonts w:ascii="Arial" w:hAnsi="Arial" w:cs="Arial"/>
                <w:sz w:val="24"/>
                <w:szCs w:val="24"/>
              </w:rPr>
              <w:t xml:space="preserve">may </w:t>
            </w:r>
            <w:r>
              <w:rPr>
                <w:rFonts w:ascii="Arial" w:hAnsi="Arial" w:cs="Arial"/>
                <w:sz w:val="24"/>
                <w:szCs w:val="24"/>
              </w:rPr>
              <w:t>need</w:t>
            </w:r>
            <w:r w:rsidR="008E37A9" w:rsidRPr="00CC4DB5">
              <w:rPr>
                <w:rFonts w:ascii="Arial" w:hAnsi="Arial" w:cs="Arial"/>
                <w:sz w:val="24"/>
                <w:szCs w:val="24"/>
              </w:rPr>
              <w:t xml:space="preserve"> to be altered to </w:t>
            </w:r>
            <w:r>
              <w:rPr>
                <w:rFonts w:ascii="Arial" w:hAnsi="Arial" w:cs="Arial"/>
                <w:sz w:val="24"/>
                <w:szCs w:val="24"/>
              </w:rPr>
              <w:t>retain a consistency of provisions</w:t>
            </w:r>
            <w:r w:rsidR="008E37A9" w:rsidRPr="00CC4DB5">
              <w:rPr>
                <w:rFonts w:ascii="Arial" w:hAnsi="Arial" w:cs="Arial"/>
                <w:sz w:val="24"/>
                <w:szCs w:val="24"/>
              </w:rPr>
              <w:t xml:space="preserve">. </w:t>
            </w:r>
          </w:p>
          <w:p w:rsidR="008E37A9" w:rsidRPr="00CC4DB5" w:rsidRDefault="000024EE" w:rsidP="00CC4DB5">
            <w:pPr>
              <w:numPr>
                <w:ilvl w:val="0"/>
                <w:numId w:val="39"/>
              </w:numPr>
              <w:spacing w:after="0"/>
              <w:rPr>
                <w:rFonts w:ascii="Arial" w:hAnsi="Arial" w:cs="Arial"/>
                <w:sz w:val="24"/>
                <w:szCs w:val="24"/>
              </w:rPr>
            </w:pPr>
            <w:r>
              <w:rPr>
                <w:rFonts w:ascii="Arial" w:hAnsi="Arial" w:cs="Arial"/>
                <w:sz w:val="24"/>
                <w:szCs w:val="24"/>
              </w:rPr>
              <w:t xml:space="preserve">Confirmation that </w:t>
            </w:r>
            <w:r w:rsidR="00CC4DB5">
              <w:rPr>
                <w:rFonts w:ascii="Arial" w:hAnsi="Arial" w:cs="Arial"/>
                <w:sz w:val="24"/>
                <w:szCs w:val="24"/>
              </w:rPr>
              <w:t xml:space="preserve">the backstop PPA </w:t>
            </w:r>
            <w:r w:rsidR="00E4683A">
              <w:rPr>
                <w:rFonts w:ascii="Arial" w:hAnsi="Arial" w:cs="Arial"/>
                <w:sz w:val="24"/>
                <w:szCs w:val="24"/>
              </w:rPr>
              <w:t xml:space="preserve">could be accessed </w:t>
            </w:r>
            <w:r w:rsidR="00BA4D06">
              <w:rPr>
                <w:rFonts w:ascii="Arial" w:hAnsi="Arial" w:cs="Arial"/>
                <w:sz w:val="24"/>
                <w:szCs w:val="24"/>
              </w:rPr>
              <w:t>at/</w:t>
            </w:r>
            <w:r w:rsidR="00E4683A">
              <w:rPr>
                <w:rFonts w:ascii="Arial" w:hAnsi="Arial" w:cs="Arial"/>
                <w:sz w:val="24"/>
                <w:szCs w:val="24"/>
              </w:rPr>
              <w:t xml:space="preserve">for any period of time [subject to considerations within the forthcoming ‘Timings’ paper], and that </w:t>
            </w:r>
            <w:r w:rsidR="00BA4D06">
              <w:rPr>
                <w:rFonts w:ascii="Arial" w:hAnsi="Arial" w:cs="Arial"/>
                <w:sz w:val="24"/>
                <w:szCs w:val="24"/>
              </w:rPr>
              <w:t xml:space="preserve">the terms </w:t>
            </w:r>
            <w:r w:rsidR="00CC4DB5">
              <w:rPr>
                <w:rFonts w:ascii="Arial" w:hAnsi="Arial" w:cs="Arial"/>
                <w:sz w:val="24"/>
                <w:szCs w:val="24"/>
              </w:rPr>
              <w:t>would need to reflect long-term open market PPAs</w:t>
            </w:r>
            <w:r w:rsidR="00BA4D06">
              <w:rPr>
                <w:rFonts w:ascii="Arial" w:hAnsi="Arial" w:cs="Arial"/>
                <w:sz w:val="24"/>
                <w:szCs w:val="24"/>
              </w:rPr>
              <w:t xml:space="preserve"> </w:t>
            </w:r>
            <w:r w:rsidR="000A15DB">
              <w:rPr>
                <w:rFonts w:ascii="Arial" w:hAnsi="Arial" w:cs="Arial"/>
                <w:sz w:val="24"/>
                <w:szCs w:val="24"/>
              </w:rPr>
              <w:t>at the point of CfD award</w:t>
            </w:r>
            <w:r w:rsidR="00CC4DB5">
              <w:rPr>
                <w:rFonts w:ascii="Arial" w:hAnsi="Arial" w:cs="Arial"/>
                <w:sz w:val="24"/>
                <w:szCs w:val="24"/>
              </w:rPr>
              <w:t>.</w:t>
            </w:r>
          </w:p>
          <w:p w:rsidR="00BA2BFF" w:rsidRDefault="00E4683A" w:rsidP="00BA2BFF">
            <w:pPr>
              <w:numPr>
                <w:ilvl w:val="0"/>
                <w:numId w:val="39"/>
              </w:numPr>
              <w:spacing w:after="0"/>
              <w:rPr>
                <w:rFonts w:ascii="Arial" w:hAnsi="Arial" w:cs="Arial"/>
                <w:sz w:val="24"/>
                <w:szCs w:val="24"/>
              </w:rPr>
            </w:pPr>
            <w:r>
              <w:rPr>
                <w:rFonts w:ascii="Arial" w:hAnsi="Arial" w:cs="Arial"/>
                <w:sz w:val="24"/>
                <w:szCs w:val="24"/>
              </w:rPr>
              <w:t>Similarly, the</w:t>
            </w:r>
            <w:r w:rsidR="00BA2BFF">
              <w:rPr>
                <w:rFonts w:ascii="Arial" w:hAnsi="Arial" w:cs="Arial"/>
                <w:sz w:val="24"/>
                <w:szCs w:val="24"/>
              </w:rPr>
              <w:t xml:space="preserve"> backstop discount would </w:t>
            </w:r>
            <w:r>
              <w:rPr>
                <w:rFonts w:ascii="Arial" w:hAnsi="Arial" w:cs="Arial"/>
                <w:sz w:val="24"/>
                <w:szCs w:val="24"/>
              </w:rPr>
              <w:t xml:space="preserve">only </w:t>
            </w:r>
            <w:r w:rsidR="00BA2BFF">
              <w:rPr>
                <w:rFonts w:ascii="Arial" w:hAnsi="Arial" w:cs="Arial"/>
                <w:sz w:val="24"/>
                <w:szCs w:val="24"/>
              </w:rPr>
              <w:t xml:space="preserve">be changed </w:t>
            </w:r>
            <w:r>
              <w:rPr>
                <w:rFonts w:ascii="Arial" w:hAnsi="Arial" w:cs="Arial"/>
                <w:sz w:val="24"/>
                <w:szCs w:val="24"/>
              </w:rPr>
              <w:t>as part of the Annual Update</w:t>
            </w:r>
            <w:r w:rsidR="00BA2BFF">
              <w:rPr>
                <w:rFonts w:ascii="Arial" w:hAnsi="Arial" w:cs="Arial"/>
                <w:sz w:val="24"/>
                <w:szCs w:val="24"/>
              </w:rPr>
              <w:t xml:space="preserve"> in response to substantial changes in open market PPA discounts</w:t>
            </w:r>
            <w:r>
              <w:rPr>
                <w:rFonts w:ascii="Arial" w:hAnsi="Arial" w:cs="Arial"/>
                <w:sz w:val="24"/>
                <w:szCs w:val="24"/>
              </w:rPr>
              <w:t xml:space="preserve"> that meant the Backstop was </w:t>
            </w:r>
            <w:r w:rsidR="00AF218C">
              <w:rPr>
                <w:rFonts w:ascii="Arial" w:hAnsi="Arial" w:cs="Arial"/>
                <w:sz w:val="24"/>
                <w:szCs w:val="24"/>
              </w:rPr>
              <w:t xml:space="preserve">at risk of </w:t>
            </w:r>
            <w:r>
              <w:rPr>
                <w:rFonts w:ascii="Arial" w:hAnsi="Arial" w:cs="Arial"/>
                <w:sz w:val="24"/>
                <w:szCs w:val="24"/>
              </w:rPr>
              <w:t xml:space="preserve">no longer </w:t>
            </w:r>
            <w:r w:rsidR="00AF218C">
              <w:rPr>
                <w:rFonts w:ascii="Arial" w:hAnsi="Arial" w:cs="Arial"/>
                <w:sz w:val="24"/>
                <w:szCs w:val="24"/>
              </w:rPr>
              <w:t xml:space="preserve">being </w:t>
            </w:r>
            <w:r>
              <w:rPr>
                <w:rFonts w:ascii="Arial" w:hAnsi="Arial" w:cs="Arial"/>
                <w:sz w:val="24"/>
                <w:szCs w:val="24"/>
              </w:rPr>
              <w:t xml:space="preserve">a ‘last resort’ or was no longer providing sufficient comfort to lenders over </w:t>
            </w:r>
            <w:r w:rsidR="00B82612">
              <w:rPr>
                <w:rFonts w:ascii="Arial" w:hAnsi="Arial" w:cs="Arial"/>
                <w:sz w:val="24"/>
                <w:szCs w:val="24"/>
              </w:rPr>
              <w:t xml:space="preserve">adopting </w:t>
            </w:r>
            <w:r>
              <w:rPr>
                <w:rFonts w:ascii="Arial" w:hAnsi="Arial" w:cs="Arial"/>
                <w:sz w:val="24"/>
                <w:szCs w:val="24"/>
              </w:rPr>
              <w:t>a wider range of routes-to-market</w:t>
            </w:r>
            <w:r w:rsidR="00BA2BFF">
              <w:rPr>
                <w:rFonts w:ascii="Arial" w:hAnsi="Arial" w:cs="Arial"/>
                <w:sz w:val="24"/>
                <w:szCs w:val="24"/>
              </w:rPr>
              <w:t>.</w:t>
            </w:r>
          </w:p>
          <w:p w:rsidR="00206BE5" w:rsidRDefault="00B82612" w:rsidP="00BA2BFF">
            <w:pPr>
              <w:numPr>
                <w:ilvl w:val="0"/>
                <w:numId w:val="39"/>
              </w:numPr>
              <w:spacing w:after="0"/>
              <w:rPr>
                <w:rFonts w:ascii="Arial" w:hAnsi="Arial" w:cs="Arial"/>
                <w:sz w:val="24"/>
                <w:szCs w:val="24"/>
              </w:rPr>
            </w:pPr>
            <w:r>
              <w:rPr>
                <w:rFonts w:ascii="Arial" w:hAnsi="Arial" w:cs="Arial"/>
                <w:sz w:val="24"/>
                <w:szCs w:val="24"/>
              </w:rPr>
              <w:t>I</w:t>
            </w:r>
            <w:r w:rsidR="00206BE5">
              <w:rPr>
                <w:rFonts w:ascii="Arial" w:hAnsi="Arial" w:cs="Arial"/>
                <w:sz w:val="24"/>
                <w:szCs w:val="24"/>
              </w:rPr>
              <w:t xml:space="preserve">t was noted that the lead times for </w:t>
            </w:r>
            <w:r>
              <w:rPr>
                <w:rFonts w:ascii="Arial" w:hAnsi="Arial" w:cs="Arial"/>
                <w:sz w:val="24"/>
                <w:szCs w:val="24"/>
              </w:rPr>
              <w:t xml:space="preserve">developing projects (e.g. </w:t>
            </w:r>
            <w:r w:rsidR="00206BE5">
              <w:rPr>
                <w:rFonts w:ascii="Arial" w:hAnsi="Arial" w:cs="Arial"/>
                <w:sz w:val="24"/>
                <w:szCs w:val="24"/>
              </w:rPr>
              <w:t>offshore wind</w:t>
            </w:r>
            <w:r>
              <w:rPr>
                <w:rFonts w:ascii="Arial" w:hAnsi="Arial" w:cs="Arial"/>
                <w:sz w:val="24"/>
                <w:szCs w:val="24"/>
              </w:rPr>
              <w:t>)</w:t>
            </w:r>
            <w:r w:rsidR="00206BE5">
              <w:rPr>
                <w:rFonts w:ascii="Arial" w:hAnsi="Arial" w:cs="Arial"/>
                <w:sz w:val="24"/>
                <w:szCs w:val="24"/>
              </w:rPr>
              <w:t xml:space="preserve"> are </w:t>
            </w:r>
            <w:r>
              <w:rPr>
                <w:rFonts w:ascii="Arial" w:hAnsi="Arial" w:cs="Arial"/>
                <w:sz w:val="24"/>
                <w:szCs w:val="24"/>
              </w:rPr>
              <w:t xml:space="preserve">significant </w:t>
            </w:r>
            <w:r w:rsidR="00206BE5">
              <w:rPr>
                <w:rFonts w:ascii="Arial" w:hAnsi="Arial" w:cs="Arial"/>
                <w:sz w:val="24"/>
                <w:szCs w:val="24"/>
              </w:rPr>
              <w:t xml:space="preserve">and may </w:t>
            </w:r>
            <w:r>
              <w:rPr>
                <w:rFonts w:ascii="Arial" w:hAnsi="Arial" w:cs="Arial"/>
                <w:sz w:val="24"/>
                <w:szCs w:val="24"/>
              </w:rPr>
              <w:t xml:space="preserve">require any changes to the OLR to be signalled well </w:t>
            </w:r>
            <w:r w:rsidR="00AF218C">
              <w:rPr>
                <w:rFonts w:ascii="Arial" w:hAnsi="Arial" w:cs="Arial"/>
                <w:sz w:val="24"/>
                <w:szCs w:val="24"/>
              </w:rPr>
              <w:t>in advance</w:t>
            </w:r>
            <w:r>
              <w:rPr>
                <w:rFonts w:ascii="Arial" w:hAnsi="Arial" w:cs="Arial"/>
                <w:sz w:val="24"/>
                <w:szCs w:val="24"/>
              </w:rPr>
              <w:t xml:space="preserve">.  </w:t>
            </w:r>
            <w:r w:rsidR="00206BE5">
              <w:rPr>
                <w:rFonts w:ascii="Arial" w:hAnsi="Arial" w:cs="Arial"/>
                <w:sz w:val="24"/>
                <w:szCs w:val="24"/>
              </w:rPr>
              <w:t xml:space="preserve">This problem has been noted in relation to the CfD strike price setting and will likely be dealt with in a similar manner. </w:t>
            </w:r>
            <w:r>
              <w:rPr>
                <w:rFonts w:ascii="Arial" w:hAnsi="Arial" w:cs="Arial"/>
                <w:sz w:val="24"/>
                <w:szCs w:val="24"/>
              </w:rPr>
              <w:t xml:space="preserve"> Since it is proposed that OLR terms are grandfathered from the point of CfD award (almost certainly pre-construction) developers </w:t>
            </w:r>
            <w:r w:rsidR="00334C07">
              <w:rPr>
                <w:rFonts w:ascii="Arial" w:hAnsi="Arial" w:cs="Arial"/>
                <w:sz w:val="24"/>
                <w:szCs w:val="24"/>
              </w:rPr>
              <w:t xml:space="preserve">should get </w:t>
            </w:r>
            <w:r>
              <w:rPr>
                <w:rFonts w:ascii="Arial" w:hAnsi="Arial" w:cs="Arial"/>
                <w:sz w:val="24"/>
                <w:szCs w:val="24"/>
              </w:rPr>
              <w:t xml:space="preserve">early comfort. </w:t>
            </w:r>
          </w:p>
          <w:p w:rsidR="00E52038" w:rsidRDefault="00E52038" w:rsidP="00E52038">
            <w:pPr>
              <w:spacing w:after="0"/>
              <w:rPr>
                <w:rFonts w:ascii="Arial" w:hAnsi="Arial" w:cs="Arial"/>
                <w:sz w:val="24"/>
                <w:szCs w:val="24"/>
              </w:rPr>
            </w:pPr>
          </w:p>
          <w:p w:rsidR="00E52038" w:rsidRDefault="00E52038" w:rsidP="00E52038">
            <w:pPr>
              <w:spacing w:after="0"/>
              <w:rPr>
                <w:rFonts w:ascii="Arial" w:hAnsi="Arial" w:cs="Arial"/>
                <w:sz w:val="24"/>
                <w:szCs w:val="24"/>
              </w:rPr>
            </w:pPr>
            <w:r>
              <w:rPr>
                <w:rFonts w:ascii="Arial" w:hAnsi="Arial" w:cs="Arial"/>
                <w:sz w:val="24"/>
                <w:szCs w:val="24"/>
              </w:rPr>
              <w:t>On reporting</w:t>
            </w:r>
            <w:r w:rsidR="00CD5E8F">
              <w:rPr>
                <w:rFonts w:ascii="Arial" w:hAnsi="Arial" w:cs="Arial"/>
                <w:sz w:val="24"/>
                <w:szCs w:val="24"/>
              </w:rPr>
              <w:t xml:space="preserve"> for the scheme review</w:t>
            </w:r>
            <w:r w:rsidR="00334C07" w:rsidRPr="00CC4DB5">
              <w:rPr>
                <w:rFonts w:ascii="Arial" w:hAnsi="Arial" w:cs="Arial"/>
                <w:sz w:val="24"/>
                <w:szCs w:val="24"/>
              </w:rPr>
              <w:t xml:space="preserve">, </w:t>
            </w:r>
            <w:r w:rsidR="00334C07">
              <w:rPr>
                <w:rFonts w:ascii="Arial" w:hAnsi="Arial" w:cs="Arial"/>
                <w:sz w:val="24"/>
                <w:szCs w:val="24"/>
              </w:rPr>
              <w:t xml:space="preserve">the discussion saw the following </w:t>
            </w:r>
            <w:r w:rsidR="00334C07" w:rsidRPr="00CC4DB5">
              <w:rPr>
                <w:rFonts w:ascii="Arial" w:hAnsi="Arial" w:cs="Arial"/>
                <w:sz w:val="24"/>
                <w:szCs w:val="24"/>
              </w:rPr>
              <w:t>points raised</w:t>
            </w:r>
            <w:r w:rsidR="00334C07" w:rsidDel="00334C07">
              <w:rPr>
                <w:rFonts w:ascii="Arial" w:hAnsi="Arial" w:cs="Arial"/>
                <w:sz w:val="24"/>
                <w:szCs w:val="24"/>
              </w:rPr>
              <w:t xml:space="preserve"> </w:t>
            </w:r>
            <w:r>
              <w:rPr>
                <w:rFonts w:ascii="Arial" w:hAnsi="Arial" w:cs="Arial"/>
                <w:sz w:val="24"/>
                <w:szCs w:val="24"/>
              </w:rPr>
              <w:t xml:space="preserve">: </w:t>
            </w:r>
          </w:p>
          <w:p w:rsidR="00E52038" w:rsidRDefault="00BA2BFF" w:rsidP="00E52038">
            <w:pPr>
              <w:numPr>
                <w:ilvl w:val="0"/>
                <w:numId w:val="39"/>
              </w:numPr>
              <w:spacing w:after="0"/>
              <w:rPr>
                <w:rFonts w:ascii="Arial" w:hAnsi="Arial" w:cs="Arial"/>
                <w:sz w:val="24"/>
                <w:szCs w:val="24"/>
              </w:rPr>
            </w:pPr>
            <w:r>
              <w:rPr>
                <w:rFonts w:ascii="Arial" w:hAnsi="Arial" w:cs="Arial"/>
                <w:sz w:val="24"/>
                <w:szCs w:val="24"/>
              </w:rPr>
              <w:t xml:space="preserve">The annual updates may be considered a risk </w:t>
            </w:r>
            <w:r w:rsidR="00334C07">
              <w:rPr>
                <w:rFonts w:ascii="Arial" w:hAnsi="Arial" w:cs="Arial"/>
                <w:sz w:val="24"/>
                <w:szCs w:val="24"/>
              </w:rPr>
              <w:t xml:space="preserve">if </w:t>
            </w:r>
            <w:r>
              <w:rPr>
                <w:rFonts w:ascii="Arial" w:hAnsi="Arial" w:cs="Arial"/>
                <w:sz w:val="24"/>
                <w:szCs w:val="24"/>
              </w:rPr>
              <w:t>they encourage regular changes to the OLR mechanism</w:t>
            </w:r>
            <w:r w:rsidR="00334C07">
              <w:rPr>
                <w:rFonts w:ascii="Arial" w:hAnsi="Arial" w:cs="Arial"/>
                <w:sz w:val="24"/>
                <w:szCs w:val="24"/>
              </w:rPr>
              <w:t>.</w:t>
            </w:r>
            <w:r>
              <w:rPr>
                <w:rFonts w:ascii="Arial" w:hAnsi="Arial" w:cs="Arial"/>
                <w:sz w:val="24"/>
                <w:szCs w:val="24"/>
              </w:rPr>
              <w:t xml:space="preserve"> AW pointed out that the updates would primarily fulfil a reporting function, evaluating market conditions. However, if market conditions change substantially this </w:t>
            </w:r>
            <w:r w:rsidR="00E52038">
              <w:rPr>
                <w:rFonts w:ascii="Arial" w:hAnsi="Arial" w:cs="Arial"/>
                <w:sz w:val="24"/>
                <w:szCs w:val="24"/>
              </w:rPr>
              <w:t>may require changes to the OLR mechanism</w:t>
            </w:r>
            <w:r w:rsidR="0033391E">
              <w:rPr>
                <w:rFonts w:ascii="Arial" w:hAnsi="Arial" w:cs="Arial"/>
                <w:sz w:val="24"/>
                <w:szCs w:val="24"/>
              </w:rPr>
              <w:t xml:space="preserve"> – for example if the backstop is no longer providing sufficient comfort to lenders over adopting a wider range of routes-to-market</w:t>
            </w:r>
            <w:r w:rsidR="00E52038">
              <w:rPr>
                <w:rFonts w:ascii="Arial" w:hAnsi="Arial" w:cs="Arial"/>
                <w:sz w:val="24"/>
                <w:szCs w:val="24"/>
              </w:rPr>
              <w:t>; hence it is important to allow for regular testing of market conditions.</w:t>
            </w:r>
            <w:r w:rsidR="00334C07">
              <w:rPr>
                <w:rFonts w:ascii="Arial" w:hAnsi="Arial" w:cs="Arial"/>
                <w:sz w:val="24"/>
                <w:szCs w:val="24"/>
              </w:rPr>
              <w:t xml:space="preserve"> </w:t>
            </w:r>
          </w:p>
          <w:p w:rsidR="00E52038" w:rsidRDefault="00E52038" w:rsidP="00E52038">
            <w:pPr>
              <w:numPr>
                <w:ilvl w:val="0"/>
                <w:numId w:val="39"/>
              </w:numPr>
              <w:spacing w:after="0"/>
              <w:rPr>
                <w:rFonts w:ascii="Arial" w:hAnsi="Arial" w:cs="Arial"/>
                <w:sz w:val="24"/>
                <w:szCs w:val="24"/>
              </w:rPr>
            </w:pPr>
            <w:r>
              <w:rPr>
                <w:rFonts w:ascii="Arial" w:hAnsi="Arial" w:cs="Arial"/>
                <w:sz w:val="24"/>
                <w:szCs w:val="24"/>
              </w:rPr>
              <w:t>Looking at the offtakers</w:t>
            </w:r>
            <w:r w:rsidR="001633C2">
              <w:rPr>
                <w:rFonts w:ascii="Arial" w:hAnsi="Arial" w:cs="Arial"/>
                <w:sz w:val="24"/>
                <w:szCs w:val="24"/>
              </w:rPr>
              <w:t>’</w:t>
            </w:r>
            <w:r>
              <w:rPr>
                <w:rFonts w:ascii="Arial" w:hAnsi="Arial" w:cs="Arial"/>
                <w:sz w:val="24"/>
                <w:szCs w:val="24"/>
              </w:rPr>
              <w:t xml:space="preserve"> bids within the OLR mechanism </w:t>
            </w:r>
            <w:r w:rsidR="001633C2">
              <w:rPr>
                <w:rFonts w:ascii="Arial" w:hAnsi="Arial" w:cs="Arial"/>
                <w:sz w:val="24"/>
                <w:szCs w:val="24"/>
              </w:rPr>
              <w:t xml:space="preserve">(under competitive allocation) </w:t>
            </w:r>
            <w:r>
              <w:rPr>
                <w:rFonts w:ascii="Arial" w:hAnsi="Arial" w:cs="Arial"/>
                <w:sz w:val="24"/>
                <w:szCs w:val="24"/>
              </w:rPr>
              <w:t xml:space="preserve">would be </w:t>
            </w:r>
            <w:r w:rsidR="001633C2">
              <w:rPr>
                <w:rFonts w:ascii="Arial" w:hAnsi="Arial" w:cs="Arial"/>
                <w:sz w:val="24"/>
                <w:szCs w:val="24"/>
              </w:rPr>
              <w:t>one</w:t>
            </w:r>
            <w:r>
              <w:rPr>
                <w:rFonts w:ascii="Arial" w:hAnsi="Arial" w:cs="Arial"/>
                <w:sz w:val="24"/>
                <w:szCs w:val="24"/>
              </w:rPr>
              <w:t xml:space="preserve"> form of reporting</w:t>
            </w:r>
            <w:r w:rsidR="001633C2">
              <w:rPr>
                <w:rFonts w:ascii="Arial" w:hAnsi="Arial" w:cs="Arial"/>
                <w:sz w:val="24"/>
                <w:szCs w:val="24"/>
              </w:rPr>
              <w:t xml:space="preserve">.  However, </w:t>
            </w:r>
            <w:r>
              <w:rPr>
                <w:rFonts w:ascii="Arial" w:hAnsi="Arial" w:cs="Arial"/>
                <w:sz w:val="24"/>
                <w:szCs w:val="24"/>
              </w:rPr>
              <w:t xml:space="preserve">AW explained that this would only provide information at the point of entry to the OLR, and </w:t>
            </w:r>
            <w:r w:rsidR="001633C2">
              <w:rPr>
                <w:rFonts w:ascii="Arial" w:hAnsi="Arial" w:cs="Arial"/>
                <w:sz w:val="24"/>
                <w:szCs w:val="24"/>
              </w:rPr>
              <w:t xml:space="preserve">that </w:t>
            </w:r>
            <w:r>
              <w:rPr>
                <w:rFonts w:ascii="Arial" w:hAnsi="Arial" w:cs="Arial"/>
                <w:sz w:val="24"/>
                <w:szCs w:val="24"/>
              </w:rPr>
              <w:t xml:space="preserve">Government would need information on market conditions preceding this, </w:t>
            </w:r>
            <w:r w:rsidR="001633C2">
              <w:rPr>
                <w:rFonts w:ascii="Arial" w:hAnsi="Arial" w:cs="Arial"/>
                <w:sz w:val="24"/>
                <w:szCs w:val="24"/>
              </w:rPr>
              <w:t xml:space="preserve">particularly if there have been no backstop PPAs issued. </w:t>
            </w:r>
          </w:p>
          <w:p w:rsidR="00CE081A" w:rsidRDefault="001633C2" w:rsidP="00CE081A">
            <w:pPr>
              <w:numPr>
                <w:ilvl w:val="0"/>
                <w:numId w:val="39"/>
              </w:numPr>
              <w:spacing w:after="0"/>
              <w:rPr>
                <w:rFonts w:ascii="Arial" w:hAnsi="Arial" w:cs="Arial"/>
                <w:sz w:val="24"/>
                <w:szCs w:val="24"/>
              </w:rPr>
            </w:pPr>
            <w:r>
              <w:rPr>
                <w:rFonts w:ascii="Arial" w:hAnsi="Arial" w:cs="Arial"/>
                <w:sz w:val="24"/>
                <w:szCs w:val="24"/>
              </w:rPr>
              <w:t xml:space="preserve">There was brief discussion on whether </w:t>
            </w:r>
            <w:r w:rsidR="00E52038">
              <w:rPr>
                <w:rFonts w:ascii="Arial" w:hAnsi="Arial" w:cs="Arial"/>
                <w:sz w:val="24"/>
                <w:szCs w:val="24"/>
              </w:rPr>
              <w:t xml:space="preserve">PPAs </w:t>
            </w:r>
            <w:r>
              <w:rPr>
                <w:rFonts w:ascii="Arial" w:hAnsi="Arial" w:cs="Arial"/>
                <w:sz w:val="24"/>
                <w:szCs w:val="24"/>
              </w:rPr>
              <w:t xml:space="preserve">(and the headline details therein) </w:t>
            </w:r>
            <w:r w:rsidR="00AF218C">
              <w:rPr>
                <w:rFonts w:ascii="Arial" w:hAnsi="Arial" w:cs="Arial"/>
                <w:sz w:val="24"/>
                <w:szCs w:val="24"/>
              </w:rPr>
              <w:t xml:space="preserve">might be </w:t>
            </w:r>
            <w:r w:rsidR="00E52038">
              <w:rPr>
                <w:rFonts w:ascii="Arial" w:hAnsi="Arial" w:cs="Arial"/>
                <w:sz w:val="24"/>
                <w:szCs w:val="24"/>
              </w:rPr>
              <w:t>covered by REMIT</w:t>
            </w:r>
            <w:r>
              <w:rPr>
                <w:rFonts w:ascii="Arial" w:hAnsi="Arial" w:cs="Arial"/>
                <w:sz w:val="24"/>
                <w:szCs w:val="24"/>
              </w:rPr>
              <w:t xml:space="preserve">. The group was unclear; </w:t>
            </w:r>
            <w:r w:rsidRPr="00D17655">
              <w:rPr>
                <w:rFonts w:ascii="Arial" w:hAnsi="Arial" w:cs="Arial"/>
                <w:sz w:val="24"/>
                <w:szCs w:val="24"/>
              </w:rPr>
              <w:t>DECC welcome views.</w:t>
            </w:r>
            <w:r>
              <w:rPr>
                <w:rFonts w:ascii="Arial" w:hAnsi="Arial" w:cs="Arial"/>
                <w:sz w:val="24"/>
                <w:szCs w:val="24"/>
              </w:rPr>
              <w:t xml:space="preserve"> </w:t>
            </w:r>
          </w:p>
          <w:p w:rsidR="00A45D20" w:rsidRDefault="00A45D20" w:rsidP="00CE081A">
            <w:pPr>
              <w:numPr>
                <w:ilvl w:val="0"/>
                <w:numId w:val="39"/>
              </w:numPr>
              <w:spacing w:after="0"/>
              <w:rPr>
                <w:rFonts w:ascii="Arial" w:hAnsi="Arial" w:cs="Arial"/>
                <w:sz w:val="24"/>
                <w:szCs w:val="24"/>
              </w:rPr>
            </w:pPr>
            <w:r>
              <w:rPr>
                <w:rFonts w:ascii="Arial" w:hAnsi="Arial" w:cs="Arial"/>
                <w:sz w:val="24"/>
                <w:szCs w:val="24"/>
              </w:rPr>
              <w:t xml:space="preserve">There was agreement that it might be feasible to require generators to submit details of their route to market and financial model as a condition of eligibility for the OLR. </w:t>
            </w:r>
          </w:p>
          <w:p w:rsidR="00E52038" w:rsidRPr="00CE081A" w:rsidRDefault="001633C2" w:rsidP="00CE081A">
            <w:pPr>
              <w:numPr>
                <w:ilvl w:val="0"/>
                <w:numId w:val="39"/>
              </w:numPr>
              <w:spacing w:after="0"/>
              <w:rPr>
                <w:rFonts w:ascii="Arial" w:hAnsi="Arial" w:cs="Arial"/>
                <w:sz w:val="24"/>
                <w:szCs w:val="24"/>
              </w:rPr>
            </w:pPr>
            <w:r>
              <w:rPr>
                <w:rFonts w:ascii="Arial" w:hAnsi="Arial" w:cs="Arial"/>
                <w:sz w:val="24"/>
                <w:szCs w:val="24"/>
              </w:rPr>
              <w:t xml:space="preserve">There was agreement over the </w:t>
            </w:r>
            <w:r w:rsidR="00E52038" w:rsidRPr="00CE081A">
              <w:rPr>
                <w:rFonts w:ascii="Arial" w:hAnsi="Arial" w:cs="Arial"/>
                <w:sz w:val="24"/>
                <w:szCs w:val="24"/>
              </w:rPr>
              <w:t>importan</w:t>
            </w:r>
            <w:r>
              <w:rPr>
                <w:rFonts w:ascii="Arial" w:hAnsi="Arial" w:cs="Arial"/>
                <w:sz w:val="24"/>
                <w:szCs w:val="24"/>
              </w:rPr>
              <w:t>ce</w:t>
            </w:r>
            <w:r w:rsidR="00E52038" w:rsidRPr="00CE081A">
              <w:rPr>
                <w:rFonts w:ascii="Arial" w:hAnsi="Arial" w:cs="Arial"/>
                <w:sz w:val="24"/>
                <w:szCs w:val="24"/>
              </w:rPr>
              <w:t xml:space="preserve"> </w:t>
            </w:r>
            <w:r>
              <w:rPr>
                <w:rFonts w:ascii="Arial" w:hAnsi="Arial" w:cs="Arial"/>
                <w:sz w:val="24"/>
                <w:szCs w:val="24"/>
              </w:rPr>
              <w:t>of</w:t>
            </w:r>
            <w:r w:rsidR="00E52038" w:rsidRPr="00CE081A">
              <w:rPr>
                <w:rFonts w:ascii="Arial" w:hAnsi="Arial" w:cs="Arial"/>
                <w:sz w:val="24"/>
                <w:szCs w:val="24"/>
              </w:rPr>
              <w:t xml:space="preserve"> ensur</w:t>
            </w:r>
            <w:r>
              <w:rPr>
                <w:rFonts w:ascii="Arial" w:hAnsi="Arial" w:cs="Arial"/>
                <w:sz w:val="24"/>
                <w:szCs w:val="24"/>
              </w:rPr>
              <w:t>ing</w:t>
            </w:r>
            <w:r w:rsidR="00E52038" w:rsidRPr="00CE081A">
              <w:rPr>
                <w:rFonts w:ascii="Arial" w:hAnsi="Arial" w:cs="Arial"/>
                <w:sz w:val="24"/>
                <w:szCs w:val="24"/>
              </w:rPr>
              <w:t xml:space="preserve"> that any information is </w:t>
            </w:r>
            <w:r w:rsidR="00CE081A" w:rsidRPr="00CE081A">
              <w:rPr>
                <w:rStyle w:val="vkans"/>
                <w:rFonts w:ascii="Arial" w:hAnsi="Arial" w:cs="Arial"/>
                <w:color w:val="222222"/>
                <w:sz w:val="24"/>
                <w:szCs w:val="24"/>
              </w:rPr>
              <w:t>anonymised</w:t>
            </w:r>
            <w:r w:rsidR="00CE081A" w:rsidRPr="00CE081A">
              <w:rPr>
                <w:rFonts w:ascii="Arial" w:hAnsi="Arial" w:cs="Arial"/>
                <w:color w:val="222222"/>
                <w:sz w:val="24"/>
                <w:szCs w:val="24"/>
              </w:rPr>
              <w:t xml:space="preserve"> </w:t>
            </w:r>
            <w:r w:rsidR="00E52038" w:rsidRPr="00CE081A">
              <w:rPr>
                <w:rFonts w:ascii="Arial" w:hAnsi="Arial" w:cs="Arial"/>
                <w:sz w:val="24"/>
                <w:szCs w:val="24"/>
              </w:rPr>
              <w:t xml:space="preserve">and not publicly accessible. </w:t>
            </w:r>
          </w:p>
          <w:p w:rsidR="00BA2BFF" w:rsidRPr="00BA2BFF" w:rsidRDefault="00BA2BFF" w:rsidP="00E52038">
            <w:pPr>
              <w:spacing w:after="0"/>
              <w:ind w:left="720"/>
              <w:rPr>
                <w:rFonts w:ascii="Arial" w:hAnsi="Arial" w:cs="Arial"/>
                <w:sz w:val="24"/>
                <w:szCs w:val="24"/>
              </w:rPr>
            </w:pPr>
          </w:p>
          <w:p w:rsidR="00CD5E8F" w:rsidRDefault="00CD5E8F" w:rsidP="00CD5E8F">
            <w:pPr>
              <w:spacing w:after="0"/>
              <w:rPr>
                <w:rFonts w:ascii="Arial" w:hAnsi="Arial" w:cs="Arial"/>
                <w:sz w:val="24"/>
                <w:szCs w:val="24"/>
              </w:rPr>
            </w:pPr>
            <w:r>
              <w:rPr>
                <w:rFonts w:ascii="Arial" w:hAnsi="Arial" w:cs="Arial"/>
                <w:sz w:val="24"/>
                <w:szCs w:val="24"/>
              </w:rPr>
              <w:t xml:space="preserve">These points prompted discussion around the impact of the OLR on the open PPA market:  </w:t>
            </w:r>
          </w:p>
          <w:p w:rsidR="00CD5E8F" w:rsidRPr="000A15DB" w:rsidRDefault="005F1FA2" w:rsidP="00937705">
            <w:pPr>
              <w:numPr>
                <w:ilvl w:val="0"/>
                <w:numId w:val="45"/>
              </w:numPr>
              <w:spacing w:after="0"/>
              <w:ind w:left="709"/>
              <w:rPr>
                <w:rFonts w:ascii="Arial" w:hAnsi="Arial" w:cs="Arial"/>
                <w:sz w:val="24"/>
                <w:szCs w:val="24"/>
              </w:rPr>
            </w:pPr>
            <w:r w:rsidRPr="000A15DB">
              <w:rPr>
                <w:rFonts w:ascii="Arial" w:hAnsi="Arial" w:cs="Arial"/>
                <w:sz w:val="24"/>
                <w:szCs w:val="24"/>
              </w:rPr>
              <w:t xml:space="preserve">Noted that market discounts falling below the backstop discount </w:t>
            </w:r>
            <w:r w:rsidR="00AF218C">
              <w:rPr>
                <w:rFonts w:ascii="Arial" w:hAnsi="Arial" w:cs="Arial"/>
                <w:sz w:val="24"/>
                <w:szCs w:val="24"/>
              </w:rPr>
              <w:t xml:space="preserve">might </w:t>
            </w:r>
            <w:r w:rsidRPr="000A15DB">
              <w:rPr>
                <w:rFonts w:ascii="Arial" w:hAnsi="Arial" w:cs="Arial"/>
                <w:sz w:val="24"/>
                <w:szCs w:val="24"/>
              </w:rPr>
              <w:t xml:space="preserve">incentivise offtakers holding long-term PPAs to terminate these, with the generator accessing the backstop and the offtaker making them good for their loss. </w:t>
            </w:r>
          </w:p>
          <w:p w:rsidR="00206BE5" w:rsidRDefault="00206BE5" w:rsidP="00CD5E8F">
            <w:pPr>
              <w:numPr>
                <w:ilvl w:val="0"/>
                <w:numId w:val="41"/>
              </w:numPr>
              <w:spacing w:after="0"/>
              <w:rPr>
                <w:rFonts w:ascii="Arial" w:hAnsi="Arial" w:cs="Arial"/>
                <w:sz w:val="24"/>
                <w:szCs w:val="24"/>
              </w:rPr>
            </w:pPr>
            <w:r>
              <w:rPr>
                <w:rFonts w:ascii="Arial" w:hAnsi="Arial" w:cs="Arial"/>
                <w:sz w:val="24"/>
                <w:szCs w:val="24"/>
              </w:rPr>
              <w:t>Noted that the scheme review would enable a</w:t>
            </w:r>
            <w:r w:rsidR="00A45D20">
              <w:rPr>
                <w:rFonts w:ascii="Arial" w:hAnsi="Arial" w:cs="Arial"/>
                <w:sz w:val="24"/>
                <w:szCs w:val="24"/>
              </w:rPr>
              <w:t>n increase</w:t>
            </w:r>
            <w:r>
              <w:rPr>
                <w:rFonts w:ascii="Arial" w:hAnsi="Arial" w:cs="Arial"/>
                <w:sz w:val="24"/>
                <w:szCs w:val="24"/>
              </w:rPr>
              <w:t xml:space="preserve"> in the backstop PPA discount if </w:t>
            </w:r>
            <w:r w:rsidR="000A15DB">
              <w:rPr>
                <w:rFonts w:ascii="Arial" w:hAnsi="Arial" w:cs="Arial"/>
                <w:sz w:val="24"/>
                <w:szCs w:val="24"/>
              </w:rPr>
              <w:t xml:space="preserve">the gap between the backstop and </w:t>
            </w:r>
            <w:r>
              <w:rPr>
                <w:rFonts w:ascii="Arial" w:hAnsi="Arial" w:cs="Arial"/>
                <w:sz w:val="24"/>
                <w:szCs w:val="24"/>
              </w:rPr>
              <w:t xml:space="preserve">open market discounts </w:t>
            </w:r>
            <w:r w:rsidR="000A15DB">
              <w:rPr>
                <w:rFonts w:ascii="Arial" w:hAnsi="Arial" w:cs="Arial"/>
                <w:sz w:val="24"/>
                <w:szCs w:val="24"/>
              </w:rPr>
              <w:t>narrowed</w:t>
            </w:r>
            <w:r>
              <w:rPr>
                <w:rFonts w:ascii="Arial" w:hAnsi="Arial" w:cs="Arial"/>
                <w:sz w:val="24"/>
                <w:szCs w:val="24"/>
              </w:rPr>
              <w:t xml:space="preserve">. </w:t>
            </w:r>
          </w:p>
          <w:p w:rsidR="00CD5E8F" w:rsidRDefault="00206BE5" w:rsidP="00CD5E8F">
            <w:pPr>
              <w:numPr>
                <w:ilvl w:val="0"/>
                <w:numId w:val="41"/>
              </w:numPr>
              <w:spacing w:after="0"/>
              <w:rPr>
                <w:rFonts w:ascii="Arial" w:hAnsi="Arial" w:cs="Arial"/>
                <w:sz w:val="24"/>
                <w:szCs w:val="24"/>
              </w:rPr>
            </w:pPr>
            <w:r>
              <w:rPr>
                <w:rFonts w:ascii="Arial" w:hAnsi="Arial" w:cs="Arial"/>
                <w:sz w:val="24"/>
                <w:szCs w:val="24"/>
              </w:rPr>
              <w:t xml:space="preserve">General agreement that this issue would only become a problem if market conditions deteriorated seriously, allowing suppliers to socialise their costs. It was agreed that this would be picked up a later meeting. </w:t>
            </w:r>
          </w:p>
          <w:p w:rsidR="003053C3" w:rsidRPr="00CC4DB5" w:rsidRDefault="003053C3" w:rsidP="00CC4DB5">
            <w:pPr>
              <w:spacing w:after="0"/>
              <w:rPr>
                <w:rFonts w:ascii="Arial" w:hAnsi="Arial" w:cs="Arial"/>
                <w:sz w:val="24"/>
                <w:szCs w:val="24"/>
              </w:rPr>
            </w:pPr>
          </w:p>
          <w:p w:rsidR="003053C3" w:rsidRPr="003053C3" w:rsidRDefault="003053C3" w:rsidP="00EA1938">
            <w:pPr>
              <w:spacing w:after="0" w:line="240" w:lineRule="auto"/>
              <w:rPr>
                <w:rFonts w:ascii="Arial" w:hAnsi="Arial" w:cs="Arial"/>
              </w:rPr>
            </w:pPr>
          </w:p>
          <w:p w:rsidR="000B5ED0" w:rsidRDefault="000B5ED0" w:rsidP="00EA1938">
            <w:pPr>
              <w:spacing w:after="0" w:line="240" w:lineRule="auto"/>
              <w:rPr>
                <w:rFonts w:ascii="Arial" w:hAnsi="Arial" w:cs="Arial"/>
                <w:sz w:val="24"/>
                <w:szCs w:val="24"/>
              </w:rPr>
            </w:pPr>
          </w:p>
          <w:p w:rsidR="00BA4D06" w:rsidRDefault="00BA4D06" w:rsidP="00EA1938">
            <w:pPr>
              <w:spacing w:after="0" w:line="240" w:lineRule="auto"/>
              <w:rPr>
                <w:rFonts w:ascii="Arial" w:hAnsi="Arial" w:cs="Arial"/>
                <w:sz w:val="24"/>
                <w:szCs w:val="24"/>
              </w:rPr>
            </w:pPr>
          </w:p>
          <w:p w:rsidR="00BA4D06" w:rsidRDefault="00BA4D06" w:rsidP="00EA1938">
            <w:pPr>
              <w:spacing w:after="0" w:line="240" w:lineRule="auto"/>
              <w:rPr>
                <w:rFonts w:ascii="Arial" w:hAnsi="Arial" w:cs="Arial"/>
                <w:sz w:val="24"/>
                <w:szCs w:val="24"/>
              </w:rPr>
            </w:pPr>
          </w:p>
          <w:p w:rsidR="00BA4D06" w:rsidRPr="00185E3C" w:rsidRDefault="00BA4D06" w:rsidP="00EA1938">
            <w:pPr>
              <w:spacing w:after="0" w:line="240" w:lineRule="auto"/>
              <w:rPr>
                <w:rFonts w:ascii="Arial" w:hAnsi="Arial" w:cs="Arial"/>
                <w:sz w:val="24"/>
                <w:szCs w:val="24"/>
              </w:rPr>
            </w:pPr>
          </w:p>
        </w:tc>
      </w:tr>
      <w:bookmarkEnd w:id="1"/>
      <w:tr w:rsidR="00EA1938" w:rsidRPr="00072629" w:rsidTr="003053C3">
        <w:trPr>
          <w:trHeight w:val="715"/>
        </w:trPr>
        <w:tc>
          <w:tcPr>
            <w:tcW w:w="493" w:type="dxa"/>
            <w:shd w:val="clear" w:color="auto" w:fill="FFFFFF"/>
          </w:tcPr>
          <w:p w:rsidR="00834017" w:rsidRPr="00072629" w:rsidRDefault="00834017" w:rsidP="00EA1938">
            <w:pPr>
              <w:pStyle w:val="ListParagraph"/>
              <w:numPr>
                <w:ilvl w:val="0"/>
                <w:numId w:val="1"/>
              </w:numPr>
              <w:spacing w:after="0" w:line="240" w:lineRule="auto"/>
              <w:ind w:left="426" w:hanging="426"/>
              <w:rPr>
                <w:rFonts w:ascii="Arial" w:hAnsi="Arial" w:cs="Arial"/>
                <w:sz w:val="24"/>
                <w:szCs w:val="24"/>
              </w:rPr>
            </w:pPr>
          </w:p>
        </w:tc>
        <w:tc>
          <w:tcPr>
            <w:tcW w:w="3120" w:type="dxa"/>
            <w:gridSpan w:val="2"/>
            <w:shd w:val="clear" w:color="auto" w:fill="FFFFFF"/>
          </w:tcPr>
          <w:p w:rsidR="00834017" w:rsidRPr="00E6341C" w:rsidRDefault="00206BE5" w:rsidP="00206BE5">
            <w:pPr>
              <w:rPr>
                <w:rFonts w:ascii="Arial" w:hAnsi="Arial" w:cs="Arial"/>
                <w:b/>
                <w:sz w:val="24"/>
                <w:szCs w:val="24"/>
              </w:rPr>
            </w:pPr>
            <w:r>
              <w:rPr>
                <w:rFonts w:ascii="Arial" w:hAnsi="Arial" w:cs="Arial"/>
                <w:b/>
                <w:sz w:val="24"/>
                <w:szCs w:val="24"/>
              </w:rPr>
              <w:t>Eligibility</w:t>
            </w:r>
          </w:p>
        </w:tc>
        <w:tc>
          <w:tcPr>
            <w:tcW w:w="4717" w:type="dxa"/>
            <w:gridSpan w:val="3"/>
            <w:shd w:val="clear" w:color="auto" w:fill="FFFFFF"/>
          </w:tcPr>
          <w:p w:rsidR="00834017" w:rsidRDefault="00206BE5" w:rsidP="00EA1938">
            <w:pPr>
              <w:pStyle w:val="ListParagraph"/>
              <w:spacing w:line="240" w:lineRule="auto"/>
              <w:ind w:left="0"/>
              <w:rPr>
                <w:rFonts w:ascii="Arial" w:hAnsi="Arial" w:cs="Arial"/>
                <w:b/>
                <w:sz w:val="24"/>
                <w:szCs w:val="24"/>
              </w:rPr>
            </w:pPr>
            <w:r>
              <w:rPr>
                <w:rFonts w:ascii="Arial" w:hAnsi="Arial" w:cs="Arial"/>
                <w:b/>
                <w:sz w:val="24"/>
                <w:szCs w:val="24"/>
              </w:rPr>
              <w:t>Paper 2</w:t>
            </w:r>
            <w:r w:rsidR="0061664A">
              <w:rPr>
                <w:rFonts w:ascii="Arial" w:hAnsi="Arial" w:cs="Arial"/>
                <w:b/>
                <w:sz w:val="24"/>
                <w:szCs w:val="24"/>
              </w:rPr>
              <w:t xml:space="preserve">.01 </w:t>
            </w:r>
            <w:r>
              <w:rPr>
                <w:rFonts w:ascii="Arial" w:hAnsi="Arial" w:cs="Arial"/>
                <w:b/>
                <w:sz w:val="24"/>
                <w:szCs w:val="24"/>
              </w:rPr>
              <w:t>Eligibility</w:t>
            </w:r>
            <w:r w:rsidR="0061664A">
              <w:rPr>
                <w:rFonts w:ascii="Arial" w:hAnsi="Arial" w:cs="Arial"/>
                <w:b/>
                <w:sz w:val="24"/>
                <w:szCs w:val="24"/>
              </w:rPr>
              <w:t xml:space="preserve"> </w:t>
            </w:r>
            <w:r w:rsidR="005869B5">
              <w:rPr>
                <w:rFonts w:ascii="Arial" w:hAnsi="Arial" w:cs="Arial"/>
                <w:b/>
                <w:sz w:val="24"/>
                <w:szCs w:val="24"/>
              </w:rPr>
              <w:t xml:space="preserve"> </w:t>
            </w:r>
          </w:p>
          <w:p w:rsidR="001451A4" w:rsidRPr="00E6341C" w:rsidRDefault="00206BE5" w:rsidP="00206BE5">
            <w:pPr>
              <w:pStyle w:val="ListParagraph"/>
              <w:spacing w:line="240" w:lineRule="auto"/>
              <w:ind w:left="0"/>
              <w:rPr>
                <w:rFonts w:ascii="Arial" w:hAnsi="Arial" w:cs="Arial"/>
                <w:b/>
                <w:sz w:val="24"/>
                <w:szCs w:val="24"/>
              </w:rPr>
            </w:pPr>
            <w:r>
              <w:rPr>
                <w:rFonts w:ascii="Arial" w:hAnsi="Arial" w:cs="Arial"/>
                <w:b/>
                <w:sz w:val="24"/>
                <w:szCs w:val="24"/>
              </w:rPr>
              <w:t>Baringa Paper</w:t>
            </w:r>
            <w:r w:rsidR="001451A4">
              <w:rPr>
                <w:rFonts w:ascii="Arial" w:hAnsi="Arial" w:cs="Arial"/>
                <w:b/>
                <w:sz w:val="24"/>
                <w:szCs w:val="24"/>
              </w:rPr>
              <w:t xml:space="preserve"> </w:t>
            </w:r>
            <w:r>
              <w:rPr>
                <w:rFonts w:ascii="Arial" w:hAnsi="Arial" w:cs="Arial"/>
                <w:b/>
                <w:sz w:val="24"/>
                <w:szCs w:val="24"/>
              </w:rPr>
              <w:t>2A</w:t>
            </w:r>
          </w:p>
        </w:tc>
        <w:tc>
          <w:tcPr>
            <w:tcW w:w="1843" w:type="dxa"/>
            <w:shd w:val="clear" w:color="auto" w:fill="FFFFFF"/>
          </w:tcPr>
          <w:p w:rsidR="00834017" w:rsidRPr="00E6341C" w:rsidRDefault="00A45D20" w:rsidP="00A45D20">
            <w:pPr>
              <w:spacing w:after="0" w:line="240" w:lineRule="auto"/>
              <w:rPr>
                <w:rFonts w:ascii="Arial" w:hAnsi="Arial" w:cs="Arial"/>
                <w:b/>
                <w:sz w:val="24"/>
                <w:szCs w:val="24"/>
              </w:rPr>
            </w:pPr>
            <w:r>
              <w:rPr>
                <w:rFonts w:ascii="Arial" w:hAnsi="Arial" w:cs="Arial"/>
                <w:b/>
                <w:sz w:val="24"/>
                <w:szCs w:val="24"/>
              </w:rPr>
              <w:t>Darryl Croft</w:t>
            </w:r>
          </w:p>
        </w:tc>
        <w:tc>
          <w:tcPr>
            <w:tcW w:w="635" w:type="dxa"/>
            <w:shd w:val="clear" w:color="auto" w:fill="FFFFFF"/>
          </w:tcPr>
          <w:p w:rsidR="00834017" w:rsidRPr="00994A42" w:rsidRDefault="00834017" w:rsidP="00EA1938">
            <w:pPr>
              <w:spacing w:after="0" w:line="240" w:lineRule="auto"/>
              <w:rPr>
                <w:rFonts w:ascii="Arial" w:hAnsi="Arial" w:cs="Arial"/>
                <w:b/>
                <w:sz w:val="24"/>
                <w:szCs w:val="24"/>
              </w:rPr>
            </w:pPr>
          </w:p>
        </w:tc>
      </w:tr>
      <w:tr w:rsidR="00206BE5" w:rsidRPr="00072629" w:rsidTr="00620F98">
        <w:trPr>
          <w:trHeight w:val="715"/>
        </w:trPr>
        <w:tc>
          <w:tcPr>
            <w:tcW w:w="10808" w:type="dxa"/>
            <w:gridSpan w:val="8"/>
            <w:shd w:val="clear" w:color="auto" w:fill="FFFFFF"/>
          </w:tcPr>
          <w:p w:rsidR="00BA4D06" w:rsidRDefault="00BA4D06" w:rsidP="00A97EC0">
            <w:pPr>
              <w:spacing w:after="0"/>
              <w:rPr>
                <w:rFonts w:ascii="Arial" w:hAnsi="Arial" w:cs="Arial"/>
                <w:sz w:val="24"/>
                <w:szCs w:val="24"/>
              </w:rPr>
            </w:pPr>
          </w:p>
          <w:p w:rsidR="00206BE5" w:rsidRPr="00A97EC0" w:rsidRDefault="00206BE5" w:rsidP="00A97EC0">
            <w:pPr>
              <w:spacing w:after="0"/>
              <w:rPr>
                <w:rFonts w:ascii="Arial" w:hAnsi="Arial" w:cs="Arial"/>
                <w:sz w:val="24"/>
                <w:szCs w:val="24"/>
              </w:rPr>
            </w:pPr>
            <w:r w:rsidRPr="00A97EC0">
              <w:rPr>
                <w:rFonts w:ascii="Arial" w:hAnsi="Arial" w:cs="Arial"/>
                <w:sz w:val="24"/>
                <w:szCs w:val="24"/>
              </w:rPr>
              <w:t xml:space="preserve">Darryl Croft (DC) presented paper 2.01 on the proposed </w:t>
            </w:r>
            <w:r w:rsidR="000C70E0" w:rsidRPr="00A97EC0">
              <w:rPr>
                <w:rFonts w:ascii="Arial" w:hAnsi="Arial" w:cs="Arial"/>
                <w:sz w:val="24"/>
                <w:szCs w:val="24"/>
              </w:rPr>
              <w:t>eligibility criteria</w:t>
            </w:r>
            <w:r w:rsidRPr="00A97EC0">
              <w:rPr>
                <w:rFonts w:ascii="Arial" w:hAnsi="Arial" w:cs="Arial"/>
                <w:sz w:val="24"/>
                <w:szCs w:val="24"/>
              </w:rPr>
              <w:t xml:space="preserve"> f</w:t>
            </w:r>
            <w:r w:rsidR="000C70E0" w:rsidRPr="00A97EC0">
              <w:rPr>
                <w:rFonts w:ascii="Arial" w:hAnsi="Arial" w:cs="Arial"/>
                <w:sz w:val="24"/>
                <w:szCs w:val="24"/>
              </w:rPr>
              <w:t xml:space="preserve">or the offtaker of last resort mechanism. </w:t>
            </w:r>
          </w:p>
          <w:p w:rsidR="00206BE5" w:rsidRPr="00A97EC0" w:rsidRDefault="00206BE5" w:rsidP="00A97EC0">
            <w:pPr>
              <w:spacing w:after="0"/>
              <w:rPr>
                <w:rFonts w:ascii="Arial" w:hAnsi="Arial" w:cs="Arial"/>
                <w:sz w:val="24"/>
                <w:szCs w:val="24"/>
              </w:rPr>
            </w:pPr>
          </w:p>
          <w:p w:rsidR="00206BE5" w:rsidRPr="00A97EC0" w:rsidRDefault="000C70E0" w:rsidP="00A97EC0">
            <w:pPr>
              <w:spacing w:after="0"/>
              <w:rPr>
                <w:rFonts w:ascii="Arial" w:hAnsi="Arial" w:cs="Arial"/>
                <w:sz w:val="24"/>
                <w:szCs w:val="24"/>
              </w:rPr>
            </w:pPr>
            <w:r w:rsidRPr="00A97EC0">
              <w:rPr>
                <w:rFonts w:ascii="Arial" w:hAnsi="Arial" w:cs="Arial"/>
                <w:sz w:val="24"/>
                <w:szCs w:val="24"/>
              </w:rPr>
              <w:t>On assumptions of market risks, points raised include</w:t>
            </w:r>
            <w:r w:rsidR="000A15DB">
              <w:rPr>
                <w:rFonts w:ascii="Arial" w:hAnsi="Arial" w:cs="Arial"/>
                <w:sz w:val="24"/>
                <w:szCs w:val="24"/>
              </w:rPr>
              <w:t>d</w:t>
            </w:r>
            <w:r w:rsidRPr="00A97EC0">
              <w:rPr>
                <w:rFonts w:ascii="Arial" w:hAnsi="Arial" w:cs="Arial"/>
                <w:sz w:val="24"/>
                <w:szCs w:val="24"/>
              </w:rPr>
              <w:t xml:space="preserve">: </w:t>
            </w:r>
          </w:p>
          <w:p w:rsidR="000C70E0" w:rsidRDefault="000C70E0" w:rsidP="00765380">
            <w:pPr>
              <w:numPr>
                <w:ilvl w:val="0"/>
                <w:numId w:val="42"/>
              </w:numPr>
              <w:spacing w:after="0"/>
              <w:rPr>
                <w:rFonts w:ascii="Arial" w:hAnsi="Arial" w:cs="Arial"/>
                <w:sz w:val="24"/>
                <w:szCs w:val="24"/>
              </w:rPr>
            </w:pPr>
            <w:r w:rsidRPr="00765380">
              <w:rPr>
                <w:rFonts w:ascii="Arial" w:hAnsi="Arial" w:cs="Arial"/>
                <w:sz w:val="24"/>
                <w:szCs w:val="24"/>
              </w:rPr>
              <w:t xml:space="preserve">On imbalance risk – forecasting </w:t>
            </w:r>
            <w:r w:rsidR="005F1FA2" w:rsidRPr="00765380">
              <w:rPr>
                <w:rFonts w:ascii="Arial" w:hAnsi="Arial" w:cs="Arial"/>
                <w:sz w:val="24"/>
                <w:szCs w:val="24"/>
              </w:rPr>
              <w:t xml:space="preserve">of intermittent output </w:t>
            </w:r>
            <w:r w:rsidRPr="00765380">
              <w:rPr>
                <w:rFonts w:ascii="Arial" w:hAnsi="Arial" w:cs="Arial"/>
                <w:sz w:val="24"/>
                <w:szCs w:val="24"/>
              </w:rPr>
              <w:t xml:space="preserve">continues to improve, reducing </w:t>
            </w:r>
            <w:r w:rsidR="005F1FA2" w:rsidRPr="00765380">
              <w:rPr>
                <w:rFonts w:ascii="Arial" w:hAnsi="Arial" w:cs="Arial"/>
                <w:sz w:val="24"/>
                <w:szCs w:val="24"/>
              </w:rPr>
              <w:t xml:space="preserve">the </w:t>
            </w:r>
            <w:r w:rsidR="005F1FA2" w:rsidRPr="003E4A65">
              <w:rPr>
                <w:rFonts w:ascii="Arial" w:hAnsi="Arial" w:cs="Arial"/>
                <w:sz w:val="24"/>
                <w:szCs w:val="24"/>
              </w:rPr>
              <w:t>proportion of output exposed to imbalance costs</w:t>
            </w:r>
            <w:r w:rsidRPr="003E4A65">
              <w:rPr>
                <w:rFonts w:ascii="Arial" w:hAnsi="Arial" w:cs="Arial"/>
                <w:sz w:val="24"/>
                <w:szCs w:val="24"/>
              </w:rPr>
              <w:t xml:space="preserve">. However, </w:t>
            </w:r>
            <w:r w:rsidR="005F1FA2" w:rsidRPr="003E4A65">
              <w:rPr>
                <w:rFonts w:ascii="Arial" w:hAnsi="Arial" w:cs="Arial"/>
                <w:sz w:val="24"/>
                <w:szCs w:val="24"/>
              </w:rPr>
              <w:t>forecasting will never be perfect</w:t>
            </w:r>
            <w:r w:rsidRPr="003E4A65">
              <w:rPr>
                <w:rFonts w:ascii="Arial" w:hAnsi="Arial" w:cs="Arial"/>
                <w:sz w:val="24"/>
                <w:szCs w:val="24"/>
              </w:rPr>
              <w:t>, and th</w:t>
            </w:r>
            <w:r w:rsidR="00765380" w:rsidRPr="003E4A65">
              <w:rPr>
                <w:rFonts w:ascii="Arial" w:hAnsi="Arial" w:cs="Arial"/>
                <w:sz w:val="24"/>
                <w:szCs w:val="24"/>
              </w:rPr>
              <w:t xml:space="preserve">e costs of residual error are sensitive to cash-out prices.  </w:t>
            </w:r>
            <w:r w:rsidRPr="00765380">
              <w:rPr>
                <w:rFonts w:ascii="Arial" w:hAnsi="Arial" w:cs="Arial"/>
                <w:sz w:val="24"/>
                <w:szCs w:val="24"/>
              </w:rPr>
              <w:t xml:space="preserve">Although all generators face imbalance risk to some degree, the point was made that </w:t>
            </w:r>
            <w:r w:rsidR="00A97EC0" w:rsidRPr="00765380">
              <w:rPr>
                <w:rFonts w:ascii="Arial" w:hAnsi="Arial" w:cs="Arial"/>
                <w:sz w:val="24"/>
                <w:szCs w:val="24"/>
              </w:rPr>
              <w:t>intermittent</w:t>
            </w:r>
            <w:r w:rsidRPr="00765380">
              <w:rPr>
                <w:rFonts w:ascii="Arial" w:hAnsi="Arial" w:cs="Arial"/>
                <w:sz w:val="24"/>
                <w:szCs w:val="24"/>
              </w:rPr>
              <w:t xml:space="preserve"> generators </w:t>
            </w:r>
            <w:r w:rsidR="00A97EC0" w:rsidRPr="00765380">
              <w:rPr>
                <w:rFonts w:ascii="Arial" w:hAnsi="Arial" w:cs="Arial"/>
                <w:sz w:val="24"/>
                <w:szCs w:val="24"/>
              </w:rPr>
              <w:t xml:space="preserve">(wind in particular) </w:t>
            </w:r>
            <w:r w:rsidRPr="00765380">
              <w:rPr>
                <w:rFonts w:ascii="Arial" w:hAnsi="Arial" w:cs="Arial"/>
                <w:sz w:val="24"/>
                <w:szCs w:val="24"/>
              </w:rPr>
              <w:t xml:space="preserve">are more likely to be out of balance </w:t>
            </w:r>
            <w:r w:rsidR="00765380">
              <w:rPr>
                <w:rFonts w:ascii="Arial" w:hAnsi="Arial" w:cs="Arial"/>
                <w:sz w:val="24"/>
                <w:szCs w:val="24"/>
              </w:rPr>
              <w:t>in the same direction as the market</w:t>
            </w:r>
            <w:r w:rsidR="000A15DB">
              <w:rPr>
                <w:rFonts w:ascii="Arial" w:hAnsi="Arial" w:cs="Arial"/>
                <w:sz w:val="24"/>
                <w:szCs w:val="24"/>
              </w:rPr>
              <w:t>,</w:t>
            </w:r>
            <w:r w:rsidRPr="00765380">
              <w:rPr>
                <w:rFonts w:ascii="Arial" w:hAnsi="Arial" w:cs="Arial"/>
                <w:sz w:val="24"/>
                <w:szCs w:val="24"/>
              </w:rPr>
              <w:t xml:space="preserve"> leading to </w:t>
            </w:r>
            <w:r w:rsidR="00765380">
              <w:rPr>
                <w:rFonts w:ascii="Arial" w:hAnsi="Arial" w:cs="Arial"/>
                <w:sz w:val="24"/>
                <w:szCs w:val="24"/>
              </w:rPr>
              <w:t xml:space="preserve">much </w:t>
            </w:r>
            <w:r w:rsidRPr="00765380">
              <w:rPr>
                <w:rFonts w:ascii="Arial" w:hAnsi="Arial" w:cs="Arial"/>
                <w:sz w:val="24"/>
                <w:szCs w:val="24"/>
              </w:rPr>
              <w:t xml:space="preserve">higher </w:t>
            </w:r>
            <w:r w:rsidR="00A45D20">
              <w:rPr>
                <w:rFonts w:ascii="Arial" w:hAnsi="Arial" w:cs="Arial"/>
                <w:sz w:val="24"/>
                <w:szCs w:val="24"/>
              </w:rPr>
              <w:t xml:space="preserve">and more uncertain </w:t>
            </w:r>
            <w:r w:rsidRPr="00765380">
              <w:rPr>
                <w:rFonts w:ascii="Arial" w:hAnsi="Arial" w:cs="Arial"/>
                <w:sz w:val="24"/>
                <w:szCs w:val="24"/>
              </w:rPr>
              <w:t>imbalance costs tha</w:t>
            </w:r>
            <w:r w:rsidR="00765380">
              <w:rPr>
                <w:rFonts w:ascii="Arial" w:hAnsi="Arial" w:cs="Arial"/>
                <w:sz w:val="24"/>
                <w:szCs w:val="24"/>
              </w:rPr>
              <w:t>n</w:t>
            </w:r>
            <w:r w:rsidRPr="00765380">
              <w:rPr>
                <w:rFonts w:ascii="Arial" w:hAnsi="Arial" w:cs="Arial"/>
                <w:sz w:val="24"/>
                <w:szCs w:val="24"/>
              </w:rPr>
              <w:t xml:space="preserve"> baseload plant. </w:t>
            </w:r>
          </w:p>
          <w:p w:rsidR="00FE26DD" w:rsidRDefault="00FE26DD" w:rsidP="00765380">
            <w:pPr>
              <w:numPr>
                <w:ilvl w:val="0"/>
                <w:numId w:val="42"/>
              </w:numPr>
              <w:spacing w:after="0"/>
              <w:rPr>
                <w:rFonts w:ascii="Arial" w:hAnsi="Arial" w:cs="Arial"/>
                <w:sz w:val="24"/>
                <w:szCs w:val="24"/>
              </w:rPr>
            </w:pPr>
            <w:r>
              <w:rPr>
                <w:rFonts w:ascii="Arial" w:hAnsi="Arial" w:cs="Arial"/>
                <w:sz w:val="24"/>
                <w:szCs w:val="24"/>
              </w:rPr>
              <w:t>The group generally agreed that the OLR should be open to those that would otherwise be required to take on long-term PPAs that remove their imbalance risk in order to secure finance.</w:t>
            </w:r>
          </w:p>
          <w:p w:rsidR="00FE26DD" w:rsidRPr="00765380" w:rsidRDefault="00FE26DD" w:rsidP="00765380">
            <w:pPr>
              <w:numPr>
                <w:ilvl w:val="0"/>
                <w:numId w:val="42"/>
              </w:numPr>
              <w:spacing w:after="0"/>
              <w:rPr>
                <w:rFonts w:ascii="Arial" w:hAnsi="Arial" w:cs="Arial"/>
                <w:sz w:val="24"/>
                <w:szCs w:val="24"/>
              </w:rPr>
            </w:pPr>
            <w:r>
              <w:rPr>
                <w:rFonts w:ascii="Arial" w:hAnsi="Arial" w:cs="Arial"/>
                <w:sz w:val="24"/>
                <w:szCs w:val="24"/>
              </w:rPr>
              <w:t xml:space="preserve">There was debate on whether solar PV would require long-term PPAs under the CfD, given projects </w:t>
            </w:r>
            <w:r w:rsidRPr="00937705">
              <w:rPr>
                <w:rFonts w:ascii="Arial" w:hAnsi="Arial" w:cs="Arial"/>
                <w:i/>
                <w:sz w:val="24"/>
                <w:szCs w:val="24"/>
              </w:rPr>
              <w:t>had</w:t>
            </w:r>
            <w:r>
              <w:rPr>
                <w:rFonts w:ascii="Arial" w:hAnsi="Arial" w:cs="Arial"/>
                <w:sz w:val="24"/>
                <w:szCs w:val="24"/>
              </w:rPr>
              <w:t xml:space="preserve"> been financed under the RO against shorter-term contracting strategies.  It was argued that lenders were now very confident over revenues from ROCs allowing this approach</w:t>
            </w:r>
            <w:r w:rsidR="00BA4D06">
              <w:rPr>
                <w:rFonts w:ascii="Arial" w:hAnsi="Arial" w:cs="Arial"/>
                <w:sz w:val="24"/>
                <w:szCs w:val="24"/>
              </w:rPr>
              <w:t xml:space="preserve"> under the RO</w:t>
            </w:r>
            <w:r>
              <w:rPr>
                <w:rFonts w:ascii="Arial" w:hAnsi="Arial" w:cs="Arial"/>
                <w:sz w:val="24"/>
                <w:szCs w:val="24"/>
              </w:rPr>
              <w:t xml:space="preserve">, but that the CfD (at least initially) </w:t>
            </w:r>
            <w:r w:rsidRPr="00937705">
              <w:rPr>
                <w:rFonts w:ascii="Arial" w:hAnsi="Arial" w:cs="Arial"/>
                <w:i/>
                <w:sz w:val="24"/>
                <w:szCs w:val="24"/>
              </w:rPr>
              <w:t>would not</w:t>
            </w:r>
            <w:r>
              <w:rPr>
                <w:rFonts w:ascii="Arial" w:hAnsi="Arial" w:cs="Arial"/>
                <w:sz w:val="24"/>
                <w:szCs w:val="24"/>
              </w:rPr>
              <w:t xml:space="preserve"> provide the same guaranteed income</w:t>
            </w:r>
            <w:r w:rsidR="00791E78">
              <w:rPr>
                <w:rFonts w:ascii="Arial" w:hAnsi="Arial" w:cs="Arial"/>
                <w:sz w:val="24"/>
                <w:szCs w:val="24"/>
              </w:rPr>
              <w:t>,</w:t>
            </w:r>
            <w:r w:rsidR="00BA4D06">
              <w:rPr>
                <w:rFonts w:ascii="Arial" w:hAnsi="Arial" w:cs="Arial"/>
                <w:sz w:val="24"/>
                <w:szCs w:val="24"/>
              </w:rPr>
              <w:t xml:space="preserve"> and hence long-term PPAs </w:t>
            </w:r>
            <w:r w:rsidR="00A45D20">
              <w:rPr>
                <w:rFonts w:ascii="Arial" w:hAnsi="Arial" w:cs="Arial"/>
                <w:sz w:val="24"/>
                <w:szCs w:val="24"/>
              </w:rPr>
              <w:t xml:space="preserve">may </w:t>
            </w:r>
            <w:r w:rsidR="00BA4D06">
              <w:rPr>
                <w:rFonts w:ascii="Arial" w:hAnsi="Arial" w:cs="Arial"/>
                <w:sz w:val="24"/>
                <w:szCs w:val="24"/>
              </w:rPr>
              <w:t>be required</w:t>
            </w:r>
            <w:r>
              <w:rPr>
                <w:rFonts w:ascii="Arial" w:hAnsi="Arial" w:cs="Arial"/>
                <w:sz w:val="24"/>
                <w:szCs w:val="24"/>
              </w:rPr>
              <w:t>.</w:t>
            </w:r>
          </w:p>
          <w:p w:rsidR="00212B90" w:rsidRDefault="00A97EC0" w:rsidP="00212B90">
            <w:pPr>
              <w:numPr>
                <w:ilvl w:val="0"/>
                <w:numId w:val="42"/>
              </w:numPr>
              <w:spacing w:after="0"/>
              <w:rPr>
                <w:rFonts w:ascii="Arial" w:hAnsi="Arial" w:cs="Arial"/>
                <w:sz w:val="24"/>
                <w:szCs w:val="24"/>
              </w:rPr>
            </w:pPr>
            <w:r w:rsidRPr="00A97EC0">
              <w:rPr>
                <w:rFonts w:ascii="Arial" w:hAnsi="Arial" w:cs="Arial"/>
                <w:sz w:val="24"/>
                <w:szCs w:val="24"/>
              </w:rPr>
              <w:t xml:space="preserve">On liquidity risk, there was </w:t>
            </w:r>
            <w:r w:rsidR="00765380">
              <w:rPr>
                <w:rFonts w:ascii="Arial" w:hAnsi="Arial" w:cs="Arial"/>
                <w:sz w:val="24"/>
                <w:szCs w:val="24"/>
              </w:rPr>
              <w:t xml:space="preserve">concern that, whilst promising, </w:t>
            </w:r>
            <w:r w:rsidRPr="00A97EC0">
              <w:rPr>
                <w:rFonts w:ascii="Arial" w:hAnsi="Arial" w:cs="Arial"/>
                <w:sz w:val="24"/>
                <w:szCs w:val="24"/>
              </w:rPr>
              <w:t>Ofgem’s liquidity reforms and other measures to maintain/improve liquidity are unlikely to provide enough certainty to financiers that they will no longer require long-term PPAs</w:t>
            </w:r>
            <w:r w:rsidR="00212B90">
              <w:rPr>
                <w:rFonts w:ascii="Arial" w:hAnsi="Arial" w:cs="Arial"/>
                <w:sz w:val="24"/>
                <w:szCs w:val="24"/>
              </w:rPr>
              <w:t xml:space="preserve"> </w:t>
            </w:r>
            <w:r w:rsidR="00791E78">
              <w:rPr>
                <w:rFonts w:ascii="Arial" w:hAnsi="Arial" w:cs="Arial"/>
                <w:sz w:val="24"/>
                <w:szCs w:val="24"/>
              </w:rPr>
              <w:t>for baseload generators</w:t>
            </w:r>
            <w:r w:rsidR="00212B90">
              <w:rPr>
                <w:rFonts w:ascii="Arial" w:hAnsi="Arial" w:cs="Arial"/>
                <w:sz w:val="24"/>
                <w:szCs w:val="24"/>
              </w:rPr>
              <w:t>– initially,</w:t>
            </w:r>
            <w:r w:rsidR="00212B90">
              <w:t xml:space="preserve"> </w:t>
            </w:r>
            <w:r w:rsidR="00212B90" w:rsidRPr="00212B90">
              <w:rPr>
                <w:rFonts w:ascii="Arial" w:hAnsi="Arial" w:cs="Arial"/>
                <w:sz w:val="24"/>
                <w:szCs w:val="24"/>
              </w:rPr>
              <w:t>debt providers are unlikely to take any risk o</w:t>
            </w:r>
            <w:r w:rsidR="00791E78">
              <w:rPr>
                <w:rFonts w:ascii="Arial" w:hAnsi="Arial" w:cs="Arial"/>
                <w:sz w:val="24"/>
                <w:szCs w:val="24"/>
              </w:rPr>
              <w:t>ver</w:t>
            </w:r>
            <w:r w:rsidR="00212B90" w:rsidRPr="00212B90">
              <w:rPr>
                <w:rFonts w:ascii="Arial" w:hAnsi="Arial" w:cs="Arial"/>
                <w:sz w:val="24"/>
                <w:szCs w:val="24"/>
              </w:rPr>
              <w:t xml:space="preserve"> reference prices</w:t>
            </w:r>
            <w:r w:rsidRPr="00A97EC0">
              <w:rPr>
                <w:rFonts w:ascii="Arial" w:hAnsi="Arial" w:cs="Arial"/>
                <w:sz w:val="24"/>
                <w:szCs w:val="24"/>
              </w:rPr>
              <w:t xml:space="preserve">. </w:t>
            </w:r>
            <w:r>
              <w:rPr>
                <w:rFonts w:ascii="Arial" w:hAnsi="Arial" w:cs="Arial"/>
                <w:sz w:val="24"/>
                <w:szCs w:val="24"/>
              </w:rPr>
              <w:t xml:space="preserve">Until </w:t>
            </w:r>
            <w:r w:rsidR="00A45D20">
              <w:rPr>
                <w:rFonts w:ascii="Arial" w:hAnsi="Arial" w:cs="Arial"/>
                <w:sz w:val="24"/>
                <w:szCs w:val="24"/>
              </w:rPr>
              <w:t>the mechanism is seen to be working</w:t>
            </w:r>
            <w:r>
              <w:rPr>
                <w:rFonts w:ascii="Arial" w:hAnsi="Arial" w:cs="Arial"/>
                <w:sz w:val="24"/>
                <w:szCs w:val="24"/>
              </w:rPr>
              <w:t>, investor confidence is unlikely to improve.</w:t>
            </w:r>
            <w:r w:rsidR="00053A5E">
              <w:rPr>
                <w:rFonts w:ascii="Arial" w:hAnsi="Arial" w:cs="Arial"/>
                <w:sz w:val="24"/>
                <w:szCs w:val="24"/>
              </w:rPr>
              <w:t xml:space="preserve"> </w:t>
            </w:r>
          </w:p>
          <w:p w:rsidR="005E571D" w:rsidRPr="00937705" w:rsidRDefault="009F6AB4" w:rsidP="00937705">
            <w:pPr>
              <w:numPr>
                <w:ilvl w:val="0"/>
                <w:numId w:val="42"/>
              </w:numPr>
              <w:spacing w:after="0"/>
              <w:ind w:left="714" w:hanging="357"/>
              <w:rPr>
                <w:rFonts w:ascii="Arial" w:hAnsi="Arial" w:cs="Arial"/>
                <w:sz w:val="24"/>
                <w:szCs w:val="24"/>
              </w:rPr>
            </w:pPr>
            <w:r w:rsidRPr="00937705">
              <w:rPr>
                <w:rFonts w:ascii="Arial" w:hAnsi="Arial" w:cs="Arial"/>
                <w:sz w:val="24"/>
                <w:szCs w:val="24"/>
              </w:rPr>
              <w:t xml:space="preserve">This was challenged by others on the basis that the CfD contract should </w:t>
            </w:r>
            <w:r w:rsidRPr="00937705">
              <w:rPr>
                <w:rFonts w:ascii="Arial" w:hAnsi="Arial" w:cs="Arial"/>
                <w:i/>
                <w:sz w:val="24"/>
                <w:szCs w:val="24"/>
              </w:rPr>
              <w:t>ensure</w:t>
            </w:r>
            <w:r w:rsidRPr="00937705">
              <w:rPr>
                <w:rFonts w:ascii="Arial" w:hAnsi="Arial" w:cs="Arial"/>
                <w:sz w:val="24"/>
                <w:szCs w:val="24"/>
              </w:rPr>
              <w:t xml:space="preserve"> the reference price is always derived from a liquid product</w:t>
            </w:r>
            <w:r w:rsidR="00791E78" w:rsidRPr="00937705">
              <w:rPr>
                <w:rFonts w:ascii="Arial" w:hAnsi="Arial" w:cs="Arial"/>
                <w:sz w:val="24"/>
                <w:szCs w:val="24"/>
              </w:rPr>
              <w:t>.</w:t>
            </w:r>
            <w:r w:rsidR="00AF2DEF">
              <w:rPr>
                <w:rFonts w:ascii="Arial" w:hAnsi="Arial" w:cs="Arial"/>
                <w:sz w:val="24"/>
                <w:szCs w:val="24"/>
              </w:rPr>
              <w:t xml:space="preserve"> </w:t>
            </w:r>
            <w:r w:rsidR="00FB1A0A" w:rsidRPr="00937705">
              <w:rPr>
                <w:rFonts w:ascii="Arial" w:hAnsi="Arial" w:cs="Arial"/>
                <w:sz w:val="24"/>
                <w:szCs w:val="24"/>
              </w:rPr>
              <w:t>It was generally agreed that the only revenue risk remaining for baseload generators under a CfD would be liquidity, and that long term PPAs may no longer be required</w:t>
            </w:r>
            <w:r w:rsidR="00571572" w:rsidRPr="00937705">
              <w:rPr>
                <w:rFonts w:ascii="Arial" w:hAnsi="Arial" w:cs="Arial"/>
                <w:sz w:val="24"/>
                <w:szCs w:val="24"/>
              </w:rPr>
              <w:t>.</w:t>
            </w:r>
            <w:r w:rsidR="00571572">
              <w:t xml:space="preserve"> </w:t>
            </w:r>
            <w:r w:rsidR="00571572" w:rsidRPr="00937705">
              <w:rPr>
                <w:rFonts w:ascii="Arial" w:hAnsi="Arial" w:cs="Arial"/>
                <w:sz w:val="24"/>
                <w:szCs w:val="24"/>
              </w:rPr>
              <w:t xml:space="preserve">However, concern focussed on the time that it would take lenders to get comfortable with the CfD and the enduring risks before they would be willing to lend in the way DECC expect. </w:t>
            </w:r>
            <w:r w:rsidR="004A7EED" w:rsidRPr="00937705">
              <w:rPr>
                <w:rFonts w:ascii="Arial" w:hAnsi="Arial" w:cs="Arial"/>
                <w:sz w:val="24"/>
                <w:szCs w:val="24"/>
              </w:rPr>
              <w:t xml:space="preserve">There was an open question over how </w:t>
            </w:r>
            <w:r w:rsidR="004A7EED" w:rsidRPr="00937705">
              <w:rPr>
                <w:rFonts w:ascii="Arial" w:hAnsi="Arial" w:cs="Arial"/>
                <w:i/>
                <w:sz w:val="24"/>
                <w:szCs w:val="24"/>
              </w:rPr>
              <w:t>useful</w:t>
            </w:r>
            <w:r w:rsidR="004A7EED" w:rsidRPr="00937705">
              <w:rPr>
                <w:rFonts w:ascii="Arial" w:hAnsi="Arial" w:cs="Arial"/>
                <w:sz w:val="24"/>
                <w:szCs w:val="24"/>
              </w:rPr>
              <w:t xml:space="preserve"> a backstop PPA would be for baseload generators if it were set significantly below the reference price.  Some considered that this would still give comfort to lenders</w:t>
            </w:r>
            <w:r w:rsidR="00791E78" w:rsidRPr="00937705">
              <w:rPr>
                <w:rFonts w:ascii="Arial" w:hAnsi="Arial" w:cs="Arial"/>
                <w:sz w:val="24"/>
                <w:szCs w:val="24"/>
              </w:rPr>
              <w:t xml:space="preserve"> and increase the number of routes-to-market available</w:t>
            </w:r>
            <w:r w:rsidR="004A7EED" w:rsidRPr="00937705">
              <w:rPr>
                <w:rFonts w:ascii="Arial" w:hAnsi="Arial" w:cs="Arial"/>
                <w:sz w:val="24"/>
                <w:szCs w:val="24"/>
              </w:rPr>
              <w:t>.</w:t>
            </w:r>
          </w:p>
          <w:p w:rsidR="004E1187" w:rsidRDefault="004E1187" w:rsidP="004E1187">
            <w:pPr>
              <w:spacing w:after="0"/>
              <w:ind w:left="720"/>
              <w:rPr>
                <w:rFonts w:ascii="Arial" w:hAnsi="Arial" w:cs="Arial"/>
                <w:sz w:val="24"/>
                <w:szCs w:val="24"/>
                <w:highlight w:val="yellow"/>
              </w:rPr>
            </w:pPr>
          </w:p>
          <w:p w:rsidR="003A1830" w:rsidRDefault="003A1830" w:rsidP="005E571D">
            <w:pPr>
              <w:spacing w:after="0"/>
              <w:rPr>
                <w:rFonts w:ascii="Arial" w:hAnsi="Arial" w:cs="Arial"/>
                <w:sz w:val="24"/>
                <w:szCs w:val="24"/>
              </w:rPr>
            </w:pPr>
          </w:p>
          <w:p w:rsidR="005E571D" w:rsidRDefault="005E571D" w:rsidP="005E571D">
            <w:pPr>
              <w:spacing w:after="0"/>
              <w:rPr>
                <w:rFonts w:ascii="Arial" w:hAnsi="Arial" w:cs="Arial"/>
                <w:sz w:val="24"/>
                <w:szCs w:val="24"/>
              </w:rPr>
            </w:pPr>
            <w:r>
              <w:rPr>
                <w:rFonts w:ascii="Arial" w:hAnsi="Arial" w:cs="Arial"/>
                <w:sz w:val="24"/>
                <w:szCs w:val="24"/>
              </w:rPr>
              <w:lastRenderedPageBreak/>
              <w:t>On Nascent technologies</w:t>
            </w:r>
            <w:r w:rsidR="003A1830">
              <w:rPr>
                <w:rFonts w:ascii="Arial" w:hAnsi="Arial" w:cs="Arial"/>
                <w:sz w:val="24"/>
                <w:szCs w:val="24"/>
              </w:rPr>
              <w:t xml:space="preserve"> (e.g. wave and tidal)</w:t>
            </w:r>
            <w:r>
              <w:rPr>
                <w:rFonts w:ascii="Arial" w:hAnsi="Arial" w:cs="Arial"/>
                <w:sz w:val="24"/>
                <w:szCs w:val="24"/>
              </w:rPr>
              <w:t xml:space="preserve">: </w:t>
            </w:r>
          </w:p>
          <w:p w:rsidR="005E571D" w:rsidRPr="00053A5E" w:rsidRDefault="00053A5E" w:rsidP="00053A5E">
            <w:pPr>
              <w:numPr>
                <w:ilvl w:val="0"/>
                <w:numId w:val="43"/>
              </w:numPr>
              <w:spacing w:after="0"/>
              <w:rPr>
                <w:rFonts w:ascii="Arial" w:hAnsi="Arial" w:cs="Arial"/>
                <w:sz w:val="24"/>
                <w:szCs w:val="24"/>
              </w:rPr>
            </w:pPr>
            <w:r w:rsidRPr="00053A5E">
              <w:rPr>
                <w:rFonts w:ascii="Arial" w:hAnsi="Arial" w:cs="Arial"/>
                <w:sz w:val="24"/>
                <w:szCs w:val="24"/>
              </w:rPr>
              <w:t>Whilst there was agreement that strike prices had been set on the basis that wind an</w:t>
            </w:r>
            <w:r w:rsidR="00791E78">
              <w:rPr>
                <w:rFonts w:ascii="Arial" w:hAnsi="Arial" w:cs="Arial"/>
                <w:sz w:val="24"/>
                <w:szCs w:val="24"/>
              </w:rPr>
              <w:t>d wave projects would be equity-</w:t>
            </w:r>
            <w:r w:rsidRPr="00053A5E">
              <w:rPr>
                <w:rFonts w:ascii="Arial" w:hAnsi="Arial" w:cs="Arial"/>
                <w:sz w:val="24"/>
                <w:szCs w:val="24"/>
              </w:rPr>
              <w:t xml:space="preserve">funded, the point was made that </w:t>
            </w:r>
            <w:r w:rsidRPr="003E4A65">
              <w:rPr>
                <w:rFonts w:ascii="Arial" w:hAnsi="Arial" w:cs="Arial"/>
                <w:sz w:val="24"/>
                <w:szCs w:val="24"/>
              </w:rPr>
              <w:t xml:space="preserve">excluding nascent technologies from the OLR might make it difficult for </w:t>
            </w:r>
            <w:r w:rsidR="00791E78">
              <w:rPr>
                <w:rFonts w:ascii="Arial" w:hAnsi="Arial" w:cs="Arial"/>
                <w:sz w:val="24"/>
                <w:szCs w:val="24"/>
              </w:rPr>
              <w:t xml:space="preserve">these </w:t>
            </w:r>
            <w:r w:rsidRPr="003E4A65">
              <w:rPr>
                <w:rFonts w:ascii="Arial" w:hAnsi="Arial" w:cs="Arial"/>
                <w:sz w:val="24"/>
                <w:szCs w:val="24"/>
              </w:rPr>
              <w:t>inves</w:t>
            </w:r>
            <w:r w:rsidR="003E4A65">
              <w:rPr>
                <w:rFonts w:ascii="Arial" w:hAnsi="Arial" w:cs="Arial"/>
                <w:sz w:val="24"/>
                <w:szCs w:val="24"/>
              </w:rPr>
              <w:t>tors to refinance post-construc</w:t>
            </w:r>
            <w:r w:rsidRPr="003E4A65">
              <w:rPr>
                <w:rFonts w:ascii="Arial" w:hAnsi="Arial" w:cs="Arial"/>
                <w:sz w:val="24"/>
                <w:szCs w:val="24"/>
              </w:rPr>
              <w:t>t</w:t>
            </w:r>
            <w:r w:rsidR="003E4A65">
              <w:rPr>
                <w:rFonts w:ascii="Arial" w:hAnsi="Arial" w:cs="Arial"/>
                <w:sz w:val="24"/>
                <w:szCs w:val="24"/>
              </w:rPr>
              <w:t>i</w:t>
            </w:r>
            <w:r w:rsidRPr="003E4A65">
              <w:rPr>
                <w:rFonts w:ascii="Arial" w:hAnsi="Arial" w:cs="Arial"/>
                <w:sz w:val="24"/>
                <w:szCs w:val="24"/>
              </w:rPr>
              <w:t>on</w:t>
            </w:r>
            <w:r w:rsidR="00B46234">
              <w:rPr>
                <w:rFonts w:ascii="Arial" w:hAnsi="Arial" w:cs="Arial"/>
                <w:sz w:val="24"/>
                <w:szCs w:val="24"/>
              </w:rPr>
              <w:t xml:space="preserve">. </w:t>
            </w:r>
            <w:r>
              <w:rPr>
                <w:rFonts w:ascii="Arial" w:hAnsi="Arial" w:cs="Arial"/>
                <w:sz w:val="24"/>
                <w:szCs w:val="24"/>
              </w:rPr>
              <w:t xml:space="preserve">These technologies are </w:t>
            </w:r>
            <w:r w:rsidR="005E571D" w:rsidRPr="00053A5E">
              <w:rPr>
                <w:rFonts w:ascii="Arial" w:hAnsi="Arial" w:cs="Arial"/>
                <w:sz w:val="24"/>
                <w:szCs w:val="24"/>
              </w:rPr>
              <w:t xml:space="preserve">already viewed as </w:t>
            </w:r>
            <w:r>
              <w:rPr>
                <w:rFonts w:ascii="Arial" w:hAnsi="Arial" w:cs="Arial"/>
                <w:sz w:val="24"/>
                <w:szCs w:val="24"/>
              </w:rPr>
              <w:t>being</w:t>
            </w:r>
            <w:r w:rsidR="005E571D" w:rsidRPr="00053A5E">
              <w:rPr>
                <w:rFonts w:ascii="Arial" w:hAnsi="Arial" w:cs="Arial"/>
                <w:sz w:val="24"/>
                <w:szCs w:val="24"/>
              </w:rPr>
              <w:t xml:space="preserve"> risky, so </w:t>
            </w:r>
            <w:r>
              <w:rPr>
                <w:rFonts w:ascii="Arial" w:hAnsi="Arial" w:cs="Arial"/>
                <w:sz w:val="24"/>
                <w:szCs w:val="24"/>
              </w:rPr>
              <w:t>the</w:t>
            </w:r>
            <w:r w:rsidR="003E4A65">
              <w:rPr>
                <w:rFonts w:ascii="Arial" w:hAnsi="Arial" w:cs="Arial"/>
                <w:sz w:val="24"/>
                <w:szCs w:val="24"/>
              </w:rPr>
              <w:t xml:space="preserve"> question was raised as to why not allow access to the OLR in order to </w:t>
            </w:r>
            <w:r w:rsidR="005E571D" w:rsidRPr="00053A5E">
              <w:rPr>
                <w:rFonts w:ascii="Arial" w:hAnsi="Arial" w:cs="Arial"/>
                <w:sz w:val="24"/>
                <w:szCs w:val="24"/>
              </w:rPr>
              <w:t>reduce</w:t>
            </w:r>
            <w:r w:rsidR="003E4A65">
              <w:rPr>
                <w:rFonts w:ascii="Arial" w:hAnsi="Arial" w:cs="Arial"/>
                <w:sz w:val="24"/>
                <w:szCs w:val="24"/>
              </w:rPr>
              <w:t xml:space="preserve"> that</w:t>
            </w:r>
            <w:r w:rsidR="005E571D" w:rsidRPr="00053A5E">
              <w:rPr>
                <w:rFonts w:ascii="Arial" w:hAnsi="Arial" w:cs="Arial"/>
                <w:sz w:val="24"/>
                <w:szCs w:val="24"/>
              </w:rPr>
              <w:t xml:space="preserve"> risk</w:t>
            </w:r>
            <w:r w:rsidR="003E4A65">
              <w:rPr>
                <w:rFonts w:ascii="Arial" w:hAnsi="Arial" w:cs="Arial"/>
                <w:sz w:val="24"/>
                <w:szCs w:val="24"/>
              </w:rPr>
              <w:t xml:space="preserve">. </w:t>
            </w:r>
            <w:r w:rsidR="00B46234">
              <w:rPr>
                <w:rFonts w:ascii="Arial" w:hAnsi="Arial" w:cs="Arial"/>
                <w:sz w:val="24"/>
                <w:szCs w:val="24"/>
              </w:rPr>
              <w:t>However, i</w:t>
            </w:r>
            <w:r w:rsidR="003E4A65">
              <w:rPr>
                <w:rFonts w:ascii="Arial" w:hAnsi="Arial" w:cs="Arial"/>
                <w:sz w:val="24"/>
                <w:szCs w:val="24"/>
              </w:rPr>
              <w:t>t was noted that these risks were reflected in the strike price, and that there are risks to providing a backstop discount at the wrong level.</w:t>
            </w:r>
          </w:p>
          <w:p w:rsidR="00937705" w:rsidRDefault="005E571D" w:rsidP="00531649">
            <w:pPr>
              <w:numPr>
                <w:ilvl w:val="0"/>
                <w:numId w:val="43"/>
              </w:numPr>
              <w:spacing w:before="240" w:after="0"/>
              <w:rPr>
                <w:rFonts w:ascii="Arial" w:hAnsi="Arial" w:cs="Arial"/>
                <w:sz w:val="24"/>
                <w:szCs w:val="24"/>
              </w:rPr>
            </w:pPr>
            <w:r>
              <w:rPr>
                <w:rFonts w:ascii="Arial" w:hAnsi="Arial" w:cs="Arial"/>
                <w:sz w:val="24"/>
                <w:szCs w:val="24"/>
              </w:rPr>
              <w:t xml:space="preserve">A question was raised about </w:t>
            </w:r>
            <w:r w:rsidR="003E4A65">
              <w:rPr>
                <w:rFonts w:ascii="Arial" w:hAnsi="Arial" w:cs="Arial"/>
                <w:sz w:val="24"/>
                <w:szCs w:val="24"/>
              </w:rPr>
              <w:t xml:space="preserve">whether </w:t>
            </w:r>
            <w:r>
              <w:rPr>
                <w:rFonts w:ascii="Arial" w:hAnsi="Arial" w:cs="Arial"/>
                <w:sz w:val="24"/>
                <w:szCs w:val="24"/>
              </w:rPr>
              <w:t xml:space="preserve">different discount rates </w:t>
            </w:r>
            <w:r w:rsidR="003E4A65">
              <w:rPr>
                <w:rFonts w:ascii="Arial" w:hAnsi="Arial" w:cs="Arial"/>
                <w:sz w:val="24"/>
                <w:szCs w:val="24"/>
              </w:rPr>
              <w:t xml:space="preserve">would be applied to </w:t>
            </w:r>
            <w:r>
              <w:rPr>
                <w:rFonts w:ascii="Arial" w:hAnsi="Arial" w:cs="Arial"/>
                <w:sz w:val="24"/>
                <w:szCs w:val="24"/>
              </w:rPr>
              <w:t xml:space="preserve">each technology – this will be discussed at </w:t>
            </w:r>
            <w:r w:rsidR="003E4A65">
              <w:rPr>
                <w:rFonts w:ascii="Arial" w:hAnsi="Arial" w:cs="Arial"/>
                <w:sz w:val="24"/>
                <w:szCs w:val="24"/>
              </w:rPr>
              <w:t>the meeting on Pricing.</w:t>
            </w:r>
            <w:r>
              <w:rPr>
                <w:rFonts w:ascii="Arial" w:hAnsi="Arial" w:cs="Arial"/>
                <w:sz w:val="24"/>
                <w:szCs w:val="24"/>
              </w:rPr>
              <w:t xml:space="preserve"> </w:t>
            </w:r>
          </w:p>
          <w:p w:rsidR="003A1830" w:rsidRPr="00937705" w:rsidRDefault="003A1830" w:rsidP="00531649">
            <w:pPr>
              <w:numPr>
                <w:ilvl w:val="0"/>
                <w:numId w:val="43"/>
              </w:numPr>
              <w:spacing w:before="240" w:after="0"/>
              <w:rPr>
                <w:rFonts w:ascii="Arial" w:hAnsi="Arial" w:cs="Arial"/>
                <w:sz w:val="24"/>
                <w:szCs w:val="24"/>
              </w:rPr>
            </w:pPr>
            <w:r>
              <w:rPr>
                <w:rFonts w:ascii="Arial" w:hAnsi="Arial" w:cs="Arial"/>
                <w:sz w:val="24"/>
                <w:szCs w:val="24"/>
              </w:rPr>
              <w:t>It was also noted that ACT was not included in the list of technologies anywhere. Would that be considered a nascent technology as well?</w:t>
            </w:r>
          </w:p>
          <w:p w:rsidR="004E1187" w:rsidRDefault="004E1187" w:rsidP="00531649">
            <w:pPr>
              <w:spacing w:before="240" w:after="0"/>
              <w:rPr>
                <w:rFonts w:ascii="Arial" w:hAnsi="Arial" w:cs="Arial"/>
                <w:sz w:val="24"/>
                <w:szCs w:val="24"/>
              </w:rPr>
            </w:pPr>
            <w:r>
              <w:rPr>
                <w:rFonts w:ascii="Arial" w:hAnsi="Arial" w:cs="Arial"/>
                <w:sz w:val="24"/>
                <w:szCs w:val="24"/>
              </w:rPr>
              <w:t>On project size:</w:t>
            </w:r>
          </w:p>
          <w:p w:rsidR="004E1187" w:rsidRDefault="004E1187" w:rsidP="00650230">
            <w:pPr>
              <w:numPr>
                <w:ilvl w:val="0"/>
                <w:numId w:val="44"/>
              </w:numPr>
              <w:spacing w:after="0"/>
              <w:rPr>
                <w:rFonts w:ascii="Arial" w:hAnsi="Arial" w:cs="Arial"/>
                <w:sz w:val="24"/>
                <w:szCs w:val="24"/>
              </w:rPr>
            </w:pPr>
            <w:r>
              <w:rPr>
                <w:rFonts w:ascii="Arial" w:hAnsi="Arial" w:cs="Arial"/>
                <w:sz w:val="24"/>
                <w:szCs w:val="24"/>
              </w:rPr>
              <w:t xml:space="preserve">There was general agreement that </w:t>
            </w:r>
            <w:r w:rsidR="00025642">
              <w:rPr>
                <w:rFonts w:ascii="Arial" w:hAnsi="Arial" w:cs="Arial"/>
                <w:sz w:val="24"/>
                <w:szCs w:val="24"/>
              </w:rPr>
              <w:t xml:space="preserve">there </w:t>
            </w:r>
            <w:r w:rsidR="003A1830">
              <w:rPr>
                <w:rFonts w:ascii="Arial" w:hAnsi="Arial" w:cs="Arial"/>
                <w:sz w:val="24"/>
                <w:szCs w:val="24"/>
              </w:rPr>
              <w:t xml:space="preserve">may be risks to </w:t>
            </w:r>
            <w:r>
              <w:rPr>
                <w:rFonts w:ascii="Arial" w:hAnsi="Arial" w:cs="Arial"/>
                <w:sz w:val="24"/>
                <w:szCs w:val="24"/>
              </w:rPr>
              <w:t>a supplier, under regulatory allocation, to be</w:t>
            </w:r>
            <w:r w:rsidR="003A1830">
              <w:rPr>
                <w:rFonts w:ascii="Arial" w:hAnsi="Arial" w:cs="Arial"/>
                <w:sz w:val="24"/>
                <w:szCs w:val="24"/>
              </w:rPr>
              <w:t>ing</w:t>
            </w:r>
            <w:r>
              <w:rPr>
                <w:rFonts w:ascii="Arial" w:hAnsi="Arial" w:cs="Arial"/>
                <w:sz w:val="24"/>
                <w:szCs w:val="24"/>
              </w:rPr>
              <w:t xml:space="preserve"> assigned a </w:t>
            </w:r>
            <w:r w:rsidR="003A1830">
              <w:rPr>
                <w:rFonts w:ascii="Arial" w:hAnsi="Arial" w:cs="Arial"/>
                <w:sz w:val="24"/>
                <w:szCs w:val="24"/>
              </w:rPr>
              <w:t xml:space="preserve">very </w:t>
            </w:r>
            <w:r>
              <w:rPr>
                <w:rFonts w:ascii="Arial" w:hAnsi="Arial" w:cs="Arial"/>
                <w:sz w:val="24"/>
                <w:szCs w:val="24"/>
              </w:rPr>
              <w:t>large (</w:t>
            </w:r>
            <w:r w:rsidR="003A1830">
              <w:rPr>
                <w:rFonts w:ascii="Arial" w:hAnsi="Arial" w:cs="Arial"/>
                <w:sz w:val="24"/>
                <w:szCs w:val="24"/>
              </w:rPr>
              <w:t>e.g. 5</w:t>
            </w:r>
            <w:r>
              <w:rPr>
                <w:rFonts w:ascii="Arial" w:hAnsi="Arial" w:cs="Arial"/>
                <w:sz w:val="24"/>
                <w:szCs w:val="24"/>
              </w:rPr>
              <w:t>00MW) project under the OLR mechanism – although this might depend somewhat on the level of discount</w:t>
            </w:r>
            <w:r w:rsidR="003A1830">
              <w:rPr>
                <w:rFonts w:ascii="Arial" w:hAnsi="Arial" w:cs="Arial"/>
                <w:sz w:val="24"/>
                <w:szCs w:val="24"/>
              </w:rPr>
              <w:t xml:space="preserve"> and the compensation paid under regulatory cost assessment</w:t>
            </w:r>
            <w:r>
              <w:rPr>
                <w:rFonts w:ascii="Arial" w:hAnsi="Arial" w:cs="Arial"/>
                <w:sz w:val="24"/>
                <w:szCs w:val="24"/>
              </w:rPr>
              <w:t xml:space="preserve">. </w:t>
            </w:r>
          </w:p>
          <w:p w:rsidR="00B46234" w:rsidRDefault="00B46234" w:rsidP="00B46234">
            <w:pPr>
              <w:numPr>
                <w:ilvl w:val="0"/>
                <w:numId w:val="44"/>
              </w:numPr>
              <w:spacing w:after="0"/>
              <w:rPr>
                <w:rFonts w:ascii="Arial" w:hAnsi="Arial" w:cs="Arial"/>
                <w:sz w:val="24"/>
                <w:szCs w:val="24"/>
              </w:rPr>
            </w:pPr>
            <w:r>
              <w:rPr>
                <w:rFonts w:ascii="Arial" w:hAnsi="Arial" w:cs="Arial"/>
                <w:sz w:val="24"/>
                <w:szCs w:val="24"/>
              </w:rPr>
              <w:t xml:space="preserve">It was pointed out that </w:t>
            </w:r>
            <w:r w:rsidR="003A1830">
              <w:rPr>
                <w:rFonts w:ascii="Arial" w:hAnsi="Arial" w:cs="Arial"/>
                <w:sz w:val="24"/>
                <w:szCs w:val="24"/>
              </w:rPr>
              <w:t xml:space="preserve">it is not correct to assume that all large projects are </w:t>
            </w:r>
            <w:r>
              <w:rPr>
                <w:rFonts w:ascii="Arial" w:hAnsi="Arial" w:cs="Arial"/>
                <w:sz w:val="24"/>
                <w:szCs w:val="24"/>
              </w:rPr>
              <w:t>balance sheet financ</w:t>
            </w:r>
            <w:r w:rsidR="003A1830">
              <w:rPr>
                <w:rFonts w:ascii="Arial" w:hAnsi="Arial" w:cs="Arial"/>
                <w:sz w:val="24"/>
                <w:szCs w:val="24"/>
              </w:rPr>
              <w:t>ed</w:t>
            </w:r>
            <w:r>
              <w:rPr>
                <w:rFonts w:ascii="Arial" w:hAnsi="Arial" w:cs="Arial"/>
                <w:sz w:val="24"/>
                <w:szCs w:val="24"/>
              </w:rPr>
              <w:t xml:space="preserve">. </w:t>
            </w:r>
          </w:p>
          <w:p w:rsidR="004E1187" w:rsidRDefault="004E1187" w:rsidP="00650230">
            <w:pPr>
              <w:numPr>
                <w:ilvl w:val="0"/>
                <w:numId w:val="44"/>
              </w:numPr>
              <w:spacing w:after="0"/>
              <w:rPr>
                <w:rFonts w:ascii="Arial" w:hAnsi="Arial" w:cs="Arial"/>
                <w:sz w:val="24"/>
                <w:szCs w:val="24"/>
              </w:rPr>
            </w:pPr>
            <w:r>
              <w:rPr>
                <w:rFonts w:ascii="Arial" w:hAnsi="Arial" w:cs="Arial"/>
                <w:sz w:val="24"/>
                <w:szCs w:val="24"/>
              </w:rPr>
              <w:t xml:space="preserve">There was agreement that it </w:t>
            </w:r>
            <w:r w:rsidR="00B46234">
              <w:rPr>
                <w:rFonts w:ascii="Arial" w:hAnsi="Arial" w:cs="Arial"/>
                <w:sz w:val="24"/>
                <w:szCs w:val="24"/>
              </w:rPr>
              <w:t>is</w:t>
            </w:r>
            <w:r>
              <w:rPr>
                <w:rFonts w:ascii="Arial" w:hAnsi="Arial" w:cs="Arial"/>
                <w:sz w:val="24"/>
                <w:szCs w:val="24"/>
              </w:rPr>
              <w:t xml:space="preserve"> possible to split a project’s output between different offtakers under the OLR </w:t>
            </w:r>
            <w:r w:rsidR="00B46234">
              <w:rPr>
                <w:rFonts w:ascii="Arial" w:hAnsi="Arial" w:cs="Arial"/>
                <w:sz w:val="24"/>
                <w:szCs w:val="24"/>
              </w:rPr>
              <w:t>in order to spread the burden</w:t>
            </w:r>
            <w:r>
              <w:rPr>
                <w:rFonts w:ascii="Arial" w:hAnsi="Arial" w:cs="Arial"/>
                <w:sz w:val="24"/>
                <w:szCs w:val="24"/>
              </w:rPr>
              <w:t xml:space="preserve">– clarity would be needed on how this </w:t>
            </w:r>
            <w:r w:rsidR="00B46234">
              <w:rPr>
                <w:rFonts w:ascii="Arial" w:hAnsi="Arial" w:cs="Arial"/>
                <w:sz w:val="24"/>
                <w:szCs w:val="24"/>
              </w:rPr>
              <w:t xml:space="preserve">process would work through an </w:t>
            </w:r>
            <w:r>
              <w:rPr>
                <w:rFonts w:ascii="Arial" w:hAnsi="Arial" w:cs="Arial"/>
                <w:sz w:val="24"/>
                <w:szCs w:val="24"/>
              </w:rPr>
              <w:t xml:space="preserve">allocation system. </w:t>
            </w:r>
          </w:p>
          <w:p w:rsidR="00650230" w:rsidRPr="003A1830" w:rsidRDefault="00650230" w:rsidP="00D17655">
            <w:pPr>
              <w:numPr>
                <w:ilvl w:val="0"/>
                <w:numId w:val="44"/>
              </w:numPr>
              <w:spacing w:after="0"/>
              <w:rPr>
                <w:rFonts w:ascii="Arial" w:hAnsi="Arial" w:cs="Arial"/>
                <w:sz w:val="24"/>
                <w:szCs w:val="24"/>
              </w:rPr>
            </w:pPr>
            <w:r w:rsidRPr="003A1830">
              <w:rPr>
                <w:rFonts w:ascii="Arial" w:hAnsi="Arial" w:cs="Arial"/>
                <w:sz w:val="24"/>
                <w:szCs w:val="24"/>
              </w:rPr>
              <w:t xml:space="preserve">Overall, it was agreed that it would be preferable to have no size cap on eligibility, and the ability to split projects between offtakers. </w:t>
            </w:r>
            <w:r w:rsidR="00B46234" w:rsidRPr="003A1830">
              <w:rPr>
                <w:rFonts w:ascii="Arial" w:hAnsi="Arial" w:cs="Arial"/>
                <w:sz w:val="24"/>
                <w:szCs w:val="24"/>
              </w:rPr>
              <w:t>There was</w:t>
            </w:r>
            <w:r w:rsidRPr="003A1830">
              <w:rPr>
                <w:rFonts w:ascii="Arial" w:hAnsi="Arial" w:cs="Arial"/>
                <w:sz w:val="24"/>
                <w:szCs w:val="24"/>
              </w:rPr>
              <w:t xml:space="preserve"> also </w:t>
            </w:r>
            <w:r w:rsidR="00B46234" w:rsidRPr="003A1830">
              <w:rPr>
                <w:rFonts w:ascii="Arial" w:hAnsi="Arial" w:cs="Arial"/>
                <w:sz w:val="24"/>
                <w:szCs w:val="24"/>
              </w:rPr>
              <w:t xml:space="preserve">agreement that it would be useful to allow </w:t>
            </w:r>
            <w:r w:rsidRPr="003A1830">
              <w:rPr>
                <w:rFonts w:ascii="Arial" w:hAnsi="Arial" w:cs="Arial"/>
                <w:sz w:val="24"/>
                <w:szCs w:val="24"/>
              </w:rPr>
              <w:t xml:space="preserve">a project to </w:t>
            </w:r>
            <w:r w:rsidR="001C1AF5" w:rsidRPr="003A1830">
              <w:rPr>
                <w:rFonts w:ascii="Arial" w:hAnsi="Arial" w:cs="Arial"/>
                <w:sz w:val="24"/>
                <w:szCs w:val="24"/>
              </w:rPr>
              <w:t xml:space="preserve">put a portion of its output into </w:t>
            </w:r>
            <w:r w:rsidRPr="003A1830">
              <w:rPr>
                <w:rFonts w:ascii="Arial" w:hAnsi="Arial" w:cs="Arial"/>
                <w:sz w:val="24"/>
                <w:szCs w:val="24"/>
              </w:rPr>
              <w:t>a backstop PPA</w:t>
            </w:r>
            <w:r w:rsidR="001C1AF5" w:rsidRPr="003A1830">
              <w:rPr>
                <w:rFonts w:ascii="Arial" w:hAnsi="Arial" w:cs="Arial"/>
                <w:sz w:val="24"/>
                <w:szCs w:val="24"/>
              </w:rPr>
              <w:t>.  This might allow for different approaches from UJV partners.</w:t>
            </w:r>
          </w:p>
          <w:p w:rsidR="00937705" w:rsidRDefault="00937705" w:rsidP="00650230">
            <w:pPr>
              <w:spacing w:after="0"/>
              <w:ind w:left="720"/>
              <w:rPr>
                <w:rFonts w:ascii="Arial" w:hAnsi="Arial" w:cs="Arial"/>
                <w:sz w:val="24"/>
                <w:szCs w:val="24"/>
              </w:rPr>
            </w:pPr>
          </w:p>
          <w:p w:rsidR="00650230" w:rsidRDefault="00650230" w:rsidP="00650230">
            <w:pPr>
              <w:spacing w:after="0"/>
              <w:rPr>
                <w:rFonts w:ascii="Arial" w:hAnsi="Arial" w:cs="Arial"/>
                <w:sz w:val="24"/>
                <w:szCs w:val="24"/>
              </w:rPr>
            </w:pPr>
            <w:r>
              <w:rPr>
                <w:rFonts w:ascii="Arial" w:hAnsi="Arial" w:cs="Arial"/>
                <w:sz w:val="24"/>
                <w:szCs w:val="24"/>
              </w:rPr>
              <w:t>On Investment Contracts:</w:t>
            </w:r>
          </w:p>
          <w:p w:rsidR="00A97EC0" w:rsidRDefault="00650230" w:rsidP="00650230">
            <w:pPr>
              <w:numPr>
                <w:ilvl w:val="0"/>
                <w:numId w:val="44"/>
              </w:numPr>
              <w:spacing w:after="0"/>
              <w:rPr>
                <w:rFonts w:ascii="Arial" w:hAnsi="Arial" w:cs="Arial"/>
                <w:sz w:val="24"/>
                <w:szCs w:val="24"/>
              </w:rPr>
            </w:pPr>
            <w:r w:rsidRPr="00650230">
              <w:rPr>
                <w:rFonts w:ascii="Arial" w:hAnsi="Arial" w:cs="Arial"/>
                <w:sz w:val="24"/>
                <w:szCs w:val="24"/>
              </w:rPr>
              <w:t xml:space="preserve">The group </w:t>
            </w:r>
            <w:r w:rsidR="001C1AF5">
              <w:rPr>
                <w:rFonts w:ascii="Arial" w:hAnsi="Arial" w:cs="Arial"/>
                <w:sz w:val="24"/>
                <w:szCs w:val="24"/>
              </w:rPr>
              <w:t xml:space="preserve">disagreed with the proposal to exclude IC projects from the OLR, on the basis that (a) they </w:t>
            </w:r>
            <w:r w:rsidR="001C1AF5" w:rsidRPr="00937705">
              <w:rPr>
                <w:rFonts w:ascii="Arial" w:hAnsi="Arial" w:cs="Arial"/>
                <w:i/>
                <w:sz w:val="24"/>
                <w:szCs w:val="24"/>
              </w:rPr>
              <w:t>would</w:t>
            </w:r>
            <w:r w:rsidR="001C1AF5">
              <w:rPr>
                <w:rFonts w:ascii="Arial" w:hAnsi="Arial" w:cs="Arial"/>
                <w:sz w:val="24"/>
                <w:szCs w:val="24"/>
              </w:rPr>
              <w:t xml:space="preserve"> account for the policy in their decisions on whether to proceed with the IC, despite having no certainty over the policy detail, and (b) they would know the policy detail by the time they reached FID on the IC projects. </w:t>
            </w:r>
          </w:p>
          <w:p w:rsidR="001C1AF5" w:rsidRDefault="001C1AF5" w:rsidP="00650230">
            <w:pPr>
              <w:numPr>
                <w:ilvl w:val="0"/>
                <w:numId w:val="44"/>
              </w:numPr>
              <w:spacing w:after="0"/>
              <w:rPr>
                <w:rFonts w:ascii="Arial" w:hAnsi="Arial" w:cs="Arial"/>
                <w:sz w:val="24"/>
                <w:szCs w:val="24"/>
              </w:rPr>
            </w:pPr>
            <w:r>
              <w:rPr>
                <w:rFonts w:ascii="Arial" w:hAnsi="Arial" w:cs="Arial"/>
                <w:sz w:val="24"/>
                <w:szCs w:val="24"/>
              </w:rPr>
              <w:t>The group were concerned that the enduring CfD might thus appear more attractive, leading to a deferring of investment that the IC had been designed to avoid.</w:t>
            </w:r>
          </w:p>
          <w:p w:rsidR="00650230" w:rsidRDefault="00650230" w:rsidP="00650230">
            <w:pPr>
              <w:spacing w:after="0"/>
              <w:rPr>
                <w:rFonts w:ascii="Arial" w:hAnsi="Arial" w:cs="Arial"/>
                <w:sz w:val="24"/>
                <w:szCs w:val="24"/>
              </w:rPr>
            </w:pPr>
          </w:p>
          <w:p w:rsidR="00650230" w:rsidRDefault="00650230" w:rsidP="00650230">
            <w:pPr>
              <w:spacing w:after="0"/>
              <w:rPr>
                <w:rFonts w:ascii="Arial" w:hAnsi="Arial" w:cs="Arial"/>
                <w:sz w:val="24"/>
                <w:szCs w:val="24"/>
              </w:rPr>
            </w:pPr>
            <w:r>
              <w:rPr>
                <w:rFonts w:ascii="Arial" w:hAnsi="Arial" w:cs="Arial"/>
                <w:sz w:val="24"/>
                <w:szCs w:val="24"/>
              </w:rPr>
              <w:t xml:space="preserve">General points: </w:t>
            </w:r>
          </w:p>
          <w:p w:rsidR="00B81C05" w:rsidRDefault="00650230" w:rsidP="00650230">
            <w:pPr>
              <w:numPr>
                <w:ilvl w:val="0"/>
                <w:numId w:val="44"/>
              </w:numPr>
              <w:spacing w:after="0"/>
              <w:rPr>
                <w:rFonts w:ascii="Arial" w:hAnsi="Arial" w:cs="Arial"/>
                <w:sz w:val="24"/>
                <w:szCs w:val="24"/>
              </w:rPr>
            </w:pPr>
            <w:r>
              <w:rPr>
                <w:rFonts w:ascii="Arial" w:hAnsi="Arial" w:cs="Arial"/>
                <w:sz w:val="24"/>
                <w:szCs w:val="24"/>
              </w:rPr>
              <w:t xml:space="preserve">It was raised consistently during the discussion that an OLR mechanism open to all generators </w:t>
            </w:r>
            <w:r w:rsidR="00B81C05">
              <w:rPr>
                <w:rFonts w:ascii="Arial" w:hAnsi="Arial" w:cs="Arial"/>
                <w:sz w:val="24"/>
                <w:szCs w:val="24"/>
              </w:rPr>
              <w:t>may</w:t>
            </w:r>
            <w:r>
              <w:rPr>
                <w:rFonts w:ascii="Arial" w:hAnsi="Arial" w:cs="Arial"/>
                <w:sz w:val="24"/>
                <w:szCs w:val="24"/>
              </w:rPr>
              <w:t xml:space="preserve"> be preferable </w:t>
            </w:r>
            <w:r w:rsidR="00B81C05">
              <w:rPr>
                <w:rFonts w:ascii="Arial" w:hAnsi="Arial" w:cs="Arial"/>
                <w:sz w:val="24"/>
                <w:szCs w:val="24"/>
              </w:rPr>
              <w:t>from</w:t>
            </w:r>
            <w:r>
              <w:rPr>
                <w:rFonts w:ascii="Arial" w:hAnsi="Arial" w:cs="Arial"/>
                <w:sz w:val="24"/>
                <w:szCs w:val="24"/>
              </w:rPr>
              <w:t xml:space="preserve"> an industry perspective</w:t>
            </w:r>
            <w:r w:rsidR="002924BB">
              <w:rPr>
                <w:rFonts w:ascii="Arial" w:hAnsi="Arial" w:cs="Arial"/>
                <w:sz w:val="24"/>
                <w:szCs w:val="24"/>
              </w:rPr>
              <w:t xml:space="preserve">. An open mechanism is likely to </w:t>
            </w:r>
            <w:r w:rsidR="00B81C05">
              <w:rPr>
                <w:rFonts w:ascii="Arial" w:hAnsi="Arial" w:cs="Arial"/>
                <w:sz w:val="24"/>
                <w:szCs w:val="24"/>
              </w:rPr>
              <w:t xml:space="preserve">encourage </w:t>
            </w:r>
            <w:r w:rsidR="002924BB">
              <w:rPr>
                <w:rFonts w:ascii="Arial" w:hAnsi="Arial" w:cs="Arial"/>
                <w:sz w:val="24"/>
                <w:szCs w:val="24"/>
              </w:rPr>
              <w:t xml:space="preserve">more </w:t>
            </w:r>
            <w:r w:rsidR="00B81C05">
              <w:rPr>
                <w:rFonts w:ascii="Arial" w:hAnsi="Arial" w:cs="Arial"/>
                <w:sz w:val="24"/>
                <w:szCs w:val="24"/>
              </w:rPr>
              <w:t xml:space="preserve">suppliers to enter the market and increase the availability of PPAs. </w:t>
            </w:r>
          </w:p>
          <w:p w:rsidR="00650230" w:rsidRPr="00650230" w:rsidRDefault="000A72D6" w:rsidP="00650230">
            <w:pPr>
              <w:numPr>
                <w:ilvl w:val="0"/>
                <w:numId w:val="44"/>
              </w:numPr>
              <w:spacing w:after="0"/>
              <w:rPr>
                <w:rFonts w:ascii="Arial" w:hAnsi="Arial" w:cs="Arial"/>
                <w:sz w:val="24"/>
                <w:szCs w:val="24"/>
              </w:rPr>
            </w:pPr>
            <w:r>
              <w:rPr>
                <w:rFonts w:ascii="Arial" w:hAnsi="Arial" w:cs="Arial"/>
                <w:sz w:val="24"/>
                <w:szCs w:val="24"/>
              </w:rPr>
              <w:t>DECC</w:t>
            </w:r>
            <w:r w:rsidR="00B81C05">
              <w:rPr>
                <w:rFonts w:ascii="Arial" w:hAnsi="Arial" w:cs="Arial"/>
                <w:sz w:val="24"/>
                <w:szCs w:val="24"/>
              </w:rPr>
              <w:t xml:space="preserve"> agreed with the points raised, although pointed out that the inclusion of technologies </w:t>
            </w:r>
            <w:r w:rsidR="00B81C05">
              <w:rPr>
                <w:rFonts w:ascii="Arial" w:hAnsi="Arial" w:cs="Arial"/>
                <w:sz w:val="24"/>
                <w:szCs w:val="24"/>
              </w:rPr>
              <w:lastRenderedPageBreak/>
              <w:t xml:space="preserve">that are unlikely to need the OLR mechanism may increase consumer liabilities. In this case, it may be better to keep the mechanism contained and managed. However, the option of keeping the OLR mechanism open to all generators will be considered as the policy details are finalised later in the year. </w:t>
            </w:r>
          </w:p>
          <w:p w:rsidR="00A97EC0" w:rsidRPr="000C70E0" w:rsidRDefault="00A97EC0" w:rsidP="00AB245C">
            <w:pPr>
              <w:spacing w:after="0"/>
              <w:ind w:left="720"/>
              <w:rPr>
                <w:rFonts w:ascii="Arial" w:hAnsi="Arial" w:cs="Arial"/>
                <w:sz w:val="24"/>
                <w:szCs w:val="24"/>
              </w:rPr>
            </w:pPr>
          </w:p>
        </w:tc>
      </w:tr>
      <w:tr w:rsidR="00EA1938" w:rsidRPr="00072629" w:rsidTr="003053C3">
        <w:trPr>
          <w:trHeight w:val="385"/>
        </w:trPr>
        <w:tc>
          <w:tcPr>
            <w:tcW w:w="534" w:type="dxa"/>
            <w:gridSpan w:val="2"/>
            <w:shd w:val="clear" w:color="auto" w:fill="FFFFFF"/>
          </w:tcPr>
          <w:p w:rsidR="00D159B8" w:rsidRPr="00D159B8" w:rsidRDefault="002924BB" w:rsidP="00EA1938">
            <w:pPr>
              <w:pStyle w:val="ListParagraph"/>
              <w:spacing w:after="0" w:line="240" w:lineRule="auto"/>
              <w:ind w:left="0"/>
              <w:rPr>
                <w:rFonts w:ascii="Arial" w:hAnsi="Arial" w:cs="Arial"/>
                <w:b/>
                <w:sz w:val="24"/>
                <w:szCs w:val="24"/>
              </w:rPr>
            </w:pPr>
            <w:r>
              <w:rPr>
                <w:rFonts w:ascii="Arial" w:hAnsi="Arial" w:cs="Arial"/>
                <w:b/>
                <w:sz w:val="24"/>
                <w:szCs w:val="24"/>
              </w:rPr>
              <w:lastRenderedPageBreak/>
              <w:t>3</w:t>
            </w:r>
            <w:r w:rsidR="00D159B8" w:rsidRPr="00D159B8">
              <w:rPr>
                <w:rFonts w:ascii="Arial" w:hAnsi="Arial" w:cs="Arial"/>
                <w:b/>
                <w:sz w:val="24"/>
                <w:szCs w:val="24"/>
              </w:rPr>
              <w:t xml:space="preserve">. </w:t>
            </w:r>
          </w:p>
        </w:tc>
        <w:tc>
          <w:tcPr>
            <w:tcW w:w="3118" w:type="dxa"/>
            <w:gridSpan w:val="2"/>
            <w:shd w:val="clear" w:color="auto" w:fill="FFFFFF"/>
          </w:tcPr>
          <w:p w:rsidR="00D159B8" w:rsidRPr="00E6341C" w:rsidRDefault="0061664A" w:rsidP="00EA1938">
            <w:pPr>
              <w:rPr>
                <w:rFonts w:ascii="Arial" w:hAnsi="Arial" w:cs="Arial"/>
                <w:b/>
                <w:sz w:val="24"/>
                <w:szCs w:val="24"/>
              </w:rPr>
            </w:pPr>
            <w:r>
              <w:rPr>
                <w:rFonts w:ascii="Arial" w:hAnsi="Arial" w:cs="Arial"/>
                <w:b/>
                <w:sz w:val="24"/>
                <w:szCs w:val="24"/>
              </w:rPr>
              <w:t>Forward Look</w:t>
            </w:r>
            <w:r w:rsidR="00D159B8">
              <w:rPr>
                <w:rFonts w:ascii="Arial" w:hAnsi="Arial" w:cs="Arial"/>
                <w:b/>
                <w:sz w:val="24"/>
                <w:szCs w:val="24"/>
              </w:rPr>
              <w:t xml:space="preserve"> </w:t>
            </w:r>
          </w:p>
        </w:tc>
        <w:tc>
          <w:tcPr>
            <w:tcW w:w="4394" w:type="dxa"/>
            <w:shd w:val="clear" w:color="auto" w:fill="FFFFFF"/>
          </w:tcPr>
          <w:p w:rsidR="00D159B8" w:rsidRDefault="00D159B8" w:rsidP="00EA1938">
            <w:pPr>
              <w:pStyle w:val="ListParagraph"/>
              <w:spacing w:line="240" w:lineRule="auto"/>
              <w:ind w:left="0"/>
              <w:rPr>
                <w:rFonts w:ascii="Arial" w:hAnsi="Arial" w:cs="Arial"/>
                <w:b/>
                <w:sz w:val="24"/>
                <w:szCs w:val="24"/>
              </w:rPr>
            </w:pPr>
          </w:p>
        </w:tc>
        <w:tc>
          <w:tcPr>
            <w:tcW w:w="2127" w:type="dxa"/>
            <w:gridSpan w:val="2"/>
            <w:shd w:val="clear" w:color="auto" w:fill="FFFFFF"/>
          </w:tcPr>
          <w:p w:rsidR="00D159B8" w:rsidRPr="00E6341C" w:rsidRDefault="00D159B8" w:rsidP="00EA1938">
            <w:pPr>
              <w:spacing w:after="0" w:line="240" w:lineRule="auto"/>
              <w:rPr>
                <w:rFonts w:ascii="Arial" w:hAnsi="Arial" w:cs="Arial"/>
                <w:b/>
                <w:sz w:val="24"/>
                <w:szCs w:val="24"/>
              </w:rPr>
            </w:pPr>
            <w:r>
              <w:rPr>
                <w:rFonts w:ascii="Arial" w:hAnsi="Arial" w:cs="Arial"/>
                <w:b/>
                <w:sz w:val="24"/>
                <w:szCs w:val="24"/>
              </w:rPr>
              <w:t>Alex Weir</w:t>
            </w:r>
          </w:p>
        </w:tc>
        <w:tc>
          <w:tcPr>
            <w:tcW w:w="635" w:type="dxa"/>
            <w:shd w:val="clear" w:color="auto" w:fill="FFFFFF"/>
          </w:tcPr>
          <w:p w:rsidR="00D159B8" w:rsidRDefault="00D159B8" w:rsidP="00EA1938">
            <w:pPr>
              <w:spacing w:after="0" w:line="240" w:lineRule="auto"/>
              <w:rPr>
                <w:rFonts w:ascii="Arial" w:hAnsi="Arial" w:cs="Arial"/>
                <w:b/>
                <w:sz w:val="24"/>
                <w:szCs w:val="24"/>
              </w:rPr>
            </w:pPr>
          </w:p>
        </w:tc>
      </w:tr>
      <w:tr w:rsidR="00EA1938" w:rsidRPr="00072629" w:rsidTr="003053C3">
        <w:trPr>
          <w:trHeight w:val="841"/>
        </w:trPr>
        <w:tc>
          <w:tcPr>
            <w:tcW w:w="10808" w:type="dxa"/>
            <w:gridSpan w:val="8"/>
            <w:shd w:val="clear" w:color="auto" w:fill="FFFFFF"/>
          </w:tcPr>
          <w:p w:rsidR="003053C3" w:rsidRDefault="003053C3" w:rsidP="00EA1938">
            <w:pPr>
              <w:spacing w:after="0"/>
              <w:rPr>
                <w:rFonts w:ascii="Arial" w:hAnsi="Arial" w:cs="Arial"/>
                <w:sz w:val="24"/>
                <w:szCs w:val="24"/>
              </w:rPr>
            </w:pPr>
          </w:p>
          <w:p w:rsidR="005F0BAF" w:rsidRDefault="002924BB" w:rsidP="002924BB">
            <w:pPr>
              <w:spacing w:after="0"/>
              <w:rPr>
                <w:rFonts w:ascii="Arial" w:hAnsi="Arial" w:cs="Arial"/>
                <w:sz w:val="24"/>
                <w:szCs w:val="24"/>
              </w:rPr>
            </w:pPr>
            <w:r>
              <w:rPr>
                <w:rFonts w:ascii="Arial" w:hAnsi="Arial" w:cs="Arial"/>
                <w:sz w:val="24"/>
                <w:szCs w:val="24"/>
              </w:rPr>
              <w:t>It was noted that an extra meeting date (14</w:t>
            </w:r>
            <w:r w:rsidRPr="002924BB">
              <w:rPr>
                <w:rFonts w:ascii="Arial" w:hAnsi="Arial" w:cs="Arial"/>
                <w:sz w:val="24"/>
                <w:szCs w:val="24"/>
                <w:vertAlign w:val="superscript"/>
              </w:rPr>
              <w:t>th</w:t>
            </w:r>
            <w:r>
              <w:rPr>
                <w:rFonts w:ascii="Arial" w:hAnsi="Arial" w:cs="Arial"/>
                <w:sz w:val="24"/>
                <w:szCs w:val="24"/>
              </w:rPr>
              <w:t xml:space="preserve"> November) has been set up to allow for a separate discussion on pricing in the backstop PPA. </w:t>
            </w:r>
            <w:r w:rsidR="00C10AE5">
              <w:rPr>
                <w:rFonts w:ascii="Arial" w:hAnsi="Arial" w:cs="Arial"/>
                <w:sz w:val="24"/>
                <w:szCs w:val="24"/>
              </w:rPr>
              <w:t xml:space="preserve"> </w:t>
            </w:r>
          </w:p>
          <w:p w:rsidR="00C10AE5" w:rsidRDefault="00C10AE5" w:rsidP="002924BB">
            <w:pPr>
              <w:spacing w:after="0"/>
              <w:rPr>
                <w:rFonts w:ascii="Arial" w:hAnsi="Arial" w:cs="Arial"/>
                <w:sz w:val="24"/>
                <w:szCs w:val="24"/>
              </w:rPr>
            </w:pPr>
          </w:p>
        </w:tc>
      </w:tr>
    </w:tbl>
    <w:p w:rsidR="00E438EB" w:rsidRDefault="00E438EB" w:rsidP="00937705">
      <w:pPr>
        <w:pStyle w:val="ListParagraph"/>
        <w:spacing w:line="240" w:lineRule="auto"/>
        <w:ind w:left="0"/>
        <w:rPr>
          <w:sz w:val="24"/>
          <w:szCs w:val="24"/>
        </w:rPr>
      </w:pPr>
    </w:p>
    <w:sectPr w:rsidR="00E438EB" w:rsidSect="00EA1938">
      <w:type w:val="continuous"/>
      <w:pgSz w:w="11906" w:h="16838" w:code="9"/>
      <w:pgMar w:top="1440" w:right="1440" w:bottom="144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2BA" w:rsidRDefault="00EF72BA" w:rsidP="0089146C">
      <w:pPr>
        <w:spacing w:after="0" w:line="240" w:lineRule="auto"/>
      </w:pPr>
      <w:r>
        <w:separator/>
      </w:r>
    </w:p>
  </w:endnote>
  <w:endnote w:type="continuationSeparator" w:id="0">
    <w:p w:rsidR="00EF72BA" w:rsidRDefault="00EF72BA" w:rsidP="00891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993" w:rsidRDefault="007F29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022" w:rsidRDefault="00780022">
    <w:pPr>
      <w:pStyle w:val="Footer"/>
    </w:pPr>
    <w:r>
      <w:fldChar w:fldCharType="begin"/>
    </w:r>
    <w:r>
      <w:instrText xml:space="preserve"> PAGE   \* MERGEFORMAT </w:instrText>
    </w:r>
    <w:r>
      <w:fldChar w:fldCharType="separate"/>
    </w:r>
    <w:r w:rsidR="00760E45">
      <w:rPr>
        <w:noProof/>
      </w:rPr>
      <w:t>1</w:t>
    </w:r>
    <w:r>
      <w:rPr>
        <w:noProof/>
      </w:rPr>
      <w:fldChar w:fldCharType="end"/>
    </w:r>
  </w:p>
  <w:p w:rsidR="00780022" w:rsidRDefault="0078002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993" w:rsidRDefault="007F29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2BA" w:rsidRDefault="00EF72BA" w:rsidP="0089146C">
      <w:pPr>
        <w:spacing w:after="0" w:line="240" w:lineRule="auto"/>
      </w:pPr>
      <w:r>
        <w:separator/>
      </w:r>
    </w:p>
  </w:footnote>
  <w:footnote w:type="continuationSeparator" w:id="0">
    <w:p w:rsidR="00EF72BA" w:rsidRDefault="00EF72BA" w:rsidP="008914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993" w:rsidRDefault="007F29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D91" w:rsidRPr="00DA55BD" w:rsidRDefault="00E14D91" w:rsidP="001E77F6">
    <w:pPr>
      <w:pStyle w:val="Header"/>
      <w:tabs>
        <w:tab w:val="left" w:pos="2475"/>
      </w:tabs>
      <w:rPr>
        <w:rFonts w:ascii="Arial" w:hAnsi="Arial" w:cs="Arial"/>
        <w:b/>
        <w:sz w:val="32"/>
        <w:szCs w:val="3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993" w:rsidRDefault="007F29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4AC4"/>
    <w:multiLevelType w:val="hybridMultilevel"/>
    <w:tmpl w:val="C5F4D3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570473"/>
    <w:multiLevelType w:val="hybridMultilevel"/>
    <w:tmpl w:val="D340CB4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nsid w:val="06C55C35"/>
    <w:multiLevelType w:val="hybridMultilevel"/>
    <w:tmpl w:val="61E057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1317FD"/>
    <w:multiLevelType w:val="hybridMultilevel"/>
    <w:tmpl w:val="ED88348A"/>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B4D44BF"/>
    <w:multiLevelType w:val="hybridMultilevel"/>
    <w:tmpl w:val="F5F2D0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B6D10BA"/>
    <w:multiLevelType w:val="hybridMultilevel"/>
    <w:tmpl w:val="C8B66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CB76EAA"/>
    <w:multiLevelType w:val="hybridMultilevel"/>
    <w:tmpl w:val="6DD04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CDC09B1"/>
    <w:multiLevelType w:val="hybridMultilevel"/>
    <w:tmpl w:val="0FE05A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D082C60"/>
    <w:multiLevelType w:val="hybridMultilevel"/>
    <w:tmpl w:val="3948E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19D6CA0"/>
    <w:multiLevelType w:val="hybridMultilevel"/>
    <w:tmpl w:val="053E8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F937CAF"/>
    <w:multiLevelType w:val="hybridMultilevel"/>
    <w:tmpl w:val="02D400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02F7078"/>
    <w:multiLevelType w:val="hybridMultilevel"/>
    <w:tmpl w:val="0B2E2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37330BE"/>
    <w:multiLevelType w:val="hybridMultilevel"/>
    <w:tmpl w:val="4C06FC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3AA6ADF"/>
    <w:multiLevelType w:val="hybridMultilevel"/>
    <w:tmpl w:val="9AC29AD0"/>
    <w:lvl w:ilvl="0" w:tplc="0809000F">
      <w:start w:val="1"/>
      <w:numFmt w:val="decimal"/>
      <w:lvlText w:val="%1."/>
      <w:lvlJc w:val="left"/>
      <w:pPr>
        <w:ind w:left="360" w:hanging="360"/>
      </w:pPr>
    </w:lvl>
    <w:lvl w:ilvl="1" w:tplc="0809000F">
      <w:start w:val="1"/>
      <w:numFmt w:val="decimal"/>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26E9778B"/>
    <w:multiLevelType w:val="hybridMultilevel"/>
    <w:tmpl w:val="B91E25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EEF525E"/>
    <w:multiLevelType w:val="hybridMultilevel"/>
    <w:tmpl w:val="6DAE3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FB20E1D"/>
    <w:multiLevelType w:val="hybridMultilevel"/>
    <w:tmpl w:val="27DA64C4"/>
    <w:lvl w:ilvl="0" w:tplc="0F48A9EA">
      <w:start w:val="1"/>
      <w:numFmt w:val="decimal"/>
      <w:lvlText w:val="%1."/>
      <w:lvlJc w:val="left"/>
      <w:pPr>
        <w:ind w:left="36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1303667"/>
    <w:multiLevelType w:val="hybridMultilevel"/>
    <w:tmpl w:val="9D7C1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20D6A28"/>
    <w:multiLevelType w:val="hybridMultilevel"/>
    <w:tmpl w:val="AADC6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5692A7E"/>
    <w:multiLevelType w:val="hybridMultilevel"/>
    <w:tmpl w:val="99749A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7711EF6"/>
    <w:multiLevelType w:val="hybridMultilevel"/>
    <w:tmpl w:val="107E06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83D3A85"/>
    <w:multiLevelType w:val="hybridMultilevel"/>
    <w:tmpl w:val="6400EF9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A093974"/>
    <w:multiLevelType w:val="hybridMultilevel"/>
    <w:tmpl w:val="AF68A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BCF3058"/>
    <w:multiLevelType w:val="hybridMultilevel"/>
    <w:tmpl w:val="A06CB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C18226E"/>
    <w:multiLevelType w:val="multilevel"/>
    <w:tmpl w:val="FC143F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3E729C2"/>
    <w:multiLevelType w:val="hybridMultilevel"/>
    <w:tmpl w:val="67C09D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46AC0333"/>
    <w:multiLevelType w:val="hybridMultilevel"/>
    <w:tmpl w:val="DF5EC4F8"/>
    <w:lvl w:ilvl="0" w:tplc="0809000B">
      <w:start w:val="1"/>
      <w:numFmt w:val="bullet"/>
      <w:lvlText w:val=""/>
      <w:lvlJc w:val="left"/>
      <w:pPr>
        <w:ind w:left="360" w:hanging="360"/>
      </w:pPr>
      <w:rPr>
        <w:rFonts w:ascii="Wingdings" w:hAnsi="Wingdings" w:hint="default"/>
      </w:rPr>
    </w:lvl>
    <w:lvl w:ilvl="1" w:tplc="0809000B">
      <w:start w:val="1"/>
      <w:numFmt w:val="bullet"/>
      <w:lvlText w:val=""/>
      <w:lvlJc w:val="left"/>
      <w:pPr>
        <w:ind w:left="1080" w:hanging="360"/>
      </w:pPr>
      <w:rPr>
        <w:rFonts w:ascii="Wingdings" w:hAnsi="Wingdings"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4DDC2E2F"/>
    <w:multiLevelType w:val="hybridMultilevel"/>
    <w:tmpl w:val="1958B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1847031"/>
    <w:multiLevelType w:val="hybridMultilevel"/>
    <w:tmpl w:val="A00ED8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24448CA"/>
    <w:multiLevelType w:val="hybridMultilevel"/>
    <w:tmpl w:val="4176BCB8"/>
    <w:lvl w:ilvl="0" w:tplc="0809000F">
      <w:start w:val="1"/>
      <w:numFmt w:val="decimal"/>
      <w:lvlText w:val="%1."/>
      <w:lvlJc w:val="left"/>
      <w:pPr>
        <w:ind w:left="717" w:hanging="360"/>
      </w:p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30">
    <w:nsid w:val="52664F68"/>
    <w:multiLevelType w:val="hybridMultilevel"/>
    <w:tmpl w:val="1C009A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42A0952"/>
    <w:multiLevelType w:val="hybridMultilevel"/>
    <w:tmpl w:val="13AAE8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56AD687C"/>
    <w:multiLevelType w:val="hybridMultilevel"/>
    <w:tmpl w:val="45AA02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5BFF0623"/>
    <w:multiLevelType w:val="hybridMultilevel"/>
    <w:tmpl w:val="1A26A7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C2C3FD0"/>
    <w:multiLevelType w:val="hybridMultilevel"/>
    <w:tmpl w:val="91CA62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C72477B"/>
    <w:multiLevelType w:val="hybridMultilevel"/>
    <w:tmpl w:val="EE141776"/>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nsid w:val="5FA93271"/>
    <w:multiLevelType w:val="hybridMultilevel"/>
    <w:tmpl w:val="3B4079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2D721EC"/>
    <w:multiLevelType w:val="hybridMultilevel"/>
    <w:tmpl w:val="091A83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68C75BF0"/>
    <w:multiLevelType w:val="hybridMultilevel"/>
    <w:tmpl w:val="924A8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FE154A0"/>
    <w:multiLevelType w:val="hybridMultilevel"/>
    <w:tmpl w:val="F74CD3A2"/>
    <w:lvl w:ilvl="0" w:tplc="690EC3DE">
      <w:start w:val="1"/>
      <w:numFmt w:val="decimal"/>
      <w:pStyle w:val="Numberedparas"/>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nsid w:val="72C71D81"/>
    <w:multiLevelType w:val="hybridMultilevel"/>
    <w:tmpl w:val="0B32E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52319BD"/>
    <w:multiLevelType w:val="hybridMultilevel"/>
    <w:tmpl w:val="17488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BED14A8"/>
    <w:multiLevelType w:val="hybridMultilevel"/>
    <w:tmpl w:val="57CA43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E246F6A"/>
    <w:multiLevelType w:val="hybridMultilevel"/>
    <w:tmpl w:val="55AE63B8"/>
    <w:lvl w:ilvl="0" w:tplc="77AEE9AE">
      <w:start w:val="1"/>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4">
    <w:nsid w:val="7E500E6B"/>
    <w:multiLevelType w:val="hybridMultilevel"/>
    <w:tmpl w:val="B5144AD6"/>
    <w:lvl w:ilvl="0" w:tplc="F460B62E">
      <w:numFmt w:val="bullet"/>
      <w:lvlText w:val="-"/>
      <w:lvlJc w:val="left"/>
      <w:pPr>
        <w:ind w:left="360" w:hanging="360"/>
      </w:pPr>
      <w:rPr>
        <w:rFonts w:ascii="Arial" w:eastAsia="Calibr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6"/>
  </w:num>
  <w:num w:numId="2">
    <w:abstractNumId w:val="39"/>
  </w:num>
  <w:num w:numId="3">
    <w:abstractNumId w:val="3"/>
  </w:num>
  <w:num w:numId="4">
    <w:abstractNumId w:val="26"/>
  </w:num>
  <w:num w:numId="5">
    <w:abstractNumId w:val="0"/>
  </w:num>
  <w:num w:numId="6">
    <w:abstractNumId w:val="18"/>
  </w:num>
  <w:num w:numId="7">
    <w:abstractNumId w:val="35"/>
  </w:num>
  <w:num w:numId="8">
    <w:abstractNumId w:val="10"/>
  </w:num>
  <w:num w:numId="9">
    <w:abstractNumId w:val="31"/>
  </w:num>
  <w:num w:numId="10">
    <w:abstractNumId w:val="1"/>
  </w:num>
  <w:num w:numId="11">
    <w:abstractNumId w:val="29"/>
  </w:num>
  <w:num w:numId="12">
    <w:abstractNumId w:val="32"/>
  </w:num>
  <w:num w:numId="13">
    <w:abstractNumId w:val="44"/>
  </w:num>
  <w:num w:numId="14">
    <w:abstractNumId w:val="20"/>
  </w:num>
  <w:num w:numId="15">
    <w:abstractNumId w:val="43"/>
  </w:num>
  <w:num w:numId="16">
    <w:abstractNumId w:val="28"/>
  </w:num>
  <w:num w:numId="17">
    <w:abstractNumId w:val="27"/>
  </w:num>
  <w:num w:numId="18">
    <w:abstractNumId w:val="21"/>
  </w:num>
  <w:num w:numId="19">
    <w:abstractNumId w:val="13"/>
  </w:num>
  <w:num w:numId="20">
    <w:abstractNumId w:val="36"/>
  </w:num>
  <w:num w:numId="21">
    <w:abstractNumId w:val="41"/>
  </w:num>
  <w:num w:numId="22">
    <w:abstractNumId w:val="9"/>
  </w:num>
  <w:num w:numId="23">
    <w:abstractNumId w:val="34"/>
  </w:num>
  <w:num w:numId="24">
    <w:abstractNumId w:val="22"/>
  </w:num>
  <w:num w:numId="25">
    <w:abstractNumId w:val="5"/>
  </w:num>
  <w:num w:numId="26">
    <w:abstractNumId w:val="37"/>
  </w:num>
  <w:num w:numId="27">
    <w:abstractNumId w:val="6"/>
  </w:num>
  <w:num w:numId="28">
    <w:abstractNumId w:val="11"/>
  </w:num>
  <w:num w:numId="29">
    <w:abstractNumId w:val="7"/>
  </w:num>
  <w:num w:numId="30">
    <w:abstractNumId w:val="42"/>
  </w:num>
  <w:num w:numId="31">
    <w:abstractNumId w:val="14"/>
  </w:num>
  <w:num w:numId="32">
    <w:abstractNumId w:val="8"/>
  </w:num>
  <w:num w:numId="33">
    <w:abstractNumId w:val="23"/>
  </w:num>
  <w:num w:numId="34">
    <w:abstractNumId w:val="15"/>
  </w:num>
  <w:num w:numId="35">
    <w:abstractNumId w:val="12"/>
  </w:num>
  <w:num w:numId="36">
    <w:abstractNumId w:val="40"/>
  </w:num>
  <w:num w:numId="37">
    <w:abstractNumId w:val="30"/>
  </w:num>
  <w:num w:numId="38">
    <w:abstractNumId w:val="19"/>
  </w:num>
  <w:num w:numId="39">
    <w:abstractNumId w:val="38"/>
  </w:num>
  <w:num w:numId="40">
    <w:abstractNumId w:val="24"/>
  </w:num>
  <w:num w:numId="41">
    <w:abstractNumId w:val="33"/>
  </w:num>
  <w:num w:numId="42">
    <w:abstractNumId w:val="17"/>
  </w:num>
  <w:num w:numId="43">
    <w:abstractNumId w:val="2"/>
  </w:num>
  <w:num w:numId="44">
    <w:abstractNumId w:val="4"/>
  </w:num>
  <w:num w:numId="45">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removePersonalInformation/>
  <w:removeDateAndTime/>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4438"/>
    <w:rsid w:val="000024EE"/>
    <w:rsid w:val="000026FB"/>
    <w:rsid w:val="000047D4"/>
    <w:rsid w:val="000062F8"/>
    <w:rsid w:val="000078C7"/>
    <w:rsid w:val="00014717"/>
    <w:rsid w:val="00017838"/>
    <w:rsid w:val="000222BB"/>
    <w:rsid w:val="00025060"/>
    <w:rsid w:val="00025642"/>
    <w:rsid w:val="0003021A"/>
    <w:rsid w:val="00033EC0"/>
    <w:rsid w:val="00035B2F"/>
    <w:rsid w:val="00035F50"/>
    <w:rsid w:val="000368FD"/>
    <w:rsid w:val="000416D6"/>
    <w:rsid w:val="000422D9"/>
    <w:rsid w:val="00045944"/>
    <w:rsid w:val="00045A92"/>
    <w:rsid w:val="00046081"/>
    <w:rsid w:val="00050E85"/>
    <w:rsid w:val="000516F8"/>
    <w:rsid w:val="00053A5E"/>
    <w:rsid w:val="000550B9"/>
    <w:rsid w:val="00055CC1"/>
    <w:rsid w:val="00055E31"/>
    <w:rsid w:val="00060E39"/>
    <w:rsid w:val="000650C8"/>
    <w:rsid w:val="000651A6"/>
    <w:rsid w:val="000674AA"/>
    <w:rsid w:val="00067A89"/>
    <w:rsid w:val="00067EC5"/>
    <w:rsid w:val="00072629"/>
    <w:rsid w:val="00076140"/>
    <w:rsid w:val="000774AD"/>
    <w:rsid w:val="00077943"/>
    <w:rsid w:val="00080906"/>
    <w:rsid w:val="000815B3"/>
    <w:rsid w:val="0008256A"/>
    <w:rsid w:val="000878EC"/>
    <w:rsid w:val="00090D83"/>
    <w:rsid w:val="00093EAC"/>
    <w:rsid w:val="000A15DB"/>
    <w:rsid w:val="000A5712"/>
    <w:rsid w:val="000A6F69"/>
    <w:rsid w:val="000A72D6"/>
    <w:rsid w:val="000A758E"/>
    <w:rsid w:val="000B0B85"/>
    <w:rsid w:val="000B387D"/>
    <w:rsid w:val="000B5E66"/>
    <w:rsid w:val="000B5ED0"/>
    <w:rsid w:val="000B6A3B"/>
    <w:rsid w:val="000B7D53"/>
    <w:rsid w:val="000C098F"/>
    <w:rsid w:val="000C13A5"/>
    <w:rsid w:val="000C2F03"/>
    <w:rsid w:val="000C5351"/>
    <w:rsid w:val="000C6CB1"/>
    <w:rsid w:val="000C70E0"/>
    <w:rsid w:val="000D4955"/>
    <w:rsid w:val="000D529C"/>
    <w:rsid w:val="000E27D3"/>
    <w:rsid w:val="000E2A25"/>
    <w:rsid w:val="000E39B3"/>
    <w:rsid w:val="000E597D"/>
    <w:rsid w:val="000E6157"/>
    <w:rsid w:val="000E75EE"/>
    <w:rsid w:val="000F01D5"/>
    <w:rsid w:val="000F14A7"/>
    <w:rsid w:val="000F3024"/>
    <w:rsid w:val="000F4791"/>
    <w:rsid w:val="000F5812"/>
    <w:rsid w:val="000F67E0"/>
    <w:rsid w:val="00100029"/>
    <w:rsid w:val="00100B45"/>
    <w:rsid w:val="001019D9"/>
    <w:rsid w:val="00103405"/>
    <w:rsid w:val="00103D43"/>
    <w:rsid w:val="001057BC"/>
    <w:rsid w:val="001076FF"/>
    <w:rsid w:val="00122805"/>
    <w:rsid w:val="00127098"/>
    <w:rsid w:val="001274C8"/>
    <w:rsid w:val="00130E14"/>
    <w:rsid w:val="00131ACA"/>
    <w:rsid w:val="001365C0"/>
    <w:rsid w:val="00136BC2"/>
    <w:rsid w:val="00136CE7"/>
    <w:rsid w:val="001405E0"/>
    <w:rsid w:val="00141876"/>
    <w:rsid w:val="001418CA"/>
    <w:rsid w:val="001426F9"/>
    <w:rsid w:val="0014459B"/>
    <w:rsid w:val="001451A4"/>
    <w:rsid w:val="00146015"/>
    <w:rsid w:val="00146542"/>
    <w:rsid w:val="00152B75"/>
    <w:rsid w:val="00156981"/>
    <w:rsid w:val="00156FCA"/>
    <w:rsid w:val="00157032"/>
    <w:rsid w:val="00160404"/>
    <w:rsid w:val="00161379"/>
    <w:rsid w:val="00161A6C"/>
    <w:rsid w:val="00162983"/>
    <w:rsid w:val="00162F3A"/>
    <w:rsid w:val="001633C2"/>
    <w:rsid w:val="001670DB"/>
    <w:rsid w:val="0017010A"/>
    <w:rsid w:val="00170A16"/>
    <w:rsid w:val="00171092"/>
    <w:rsid w:val="001735F2"/>
    <w:rsid w:val="0017401D"/>
    <w:rsid w:val="00176306"/>
    <w:rsid w:val="00181007"/>
    <w:rsid w:val="00183BF3"/>
    <w:rsid w:val="00185A9D"/>
    <w:rsid w:val="00185E3C"/>
    <w:rsid w:val="001925EF"/>
    <w:rsid w:val="00195A83"/>
    <w:rsid w:val="00195DFE"/>
    <w:rsid w:val="0019678A"/>
    <w:rsid w:val="001A4E19"/>
    <w:rsid w:val="001B1DD4"/>
    <w:rsid w:val="001B26B2"/>
    <w:rsid w:val="001B5567"/>
    <w:rsid w:val="001B6866"/>
    <w:rsid w:val="001B6C59"/>
    <w:rsid w:val="001C1AF5"/>
    <w:rsid w:val="001C27B2"/>
    <w:rsid w:val="001C7A41"/>
    <w:rsid w:val="001C7F0E"/>
    <w:rsid w:val="001E01DE"/>
    <w:rsid w:val="001E14C1"/>
    <w:rsid w:val="001E1813"/>
    <w:rsid w:val="001E3E9C"/>
    <w:rsid w:val="001E5465"/>
    <w:rsid w:val="001E77F6"/>
    <w:rsid w:val="001E7B3E"/>
    <w:rsid w:val="001F2806"/>
    <w:rsid w:val="00201071"/>
    <w:rsid w:val="00205ED6"/>
    <w:rsid w:val="00206BE5"/>
    <w:rsid w:val="0020781B"/>
    <w:rsid w:val="00212B90"/>
    <w:rsid w:val="00213CF4"/>
    <w:rsid w:val="002141B0"/>
    <w:rsid w:val="00216A7E"/>
    <w:rsid w:val="0022078A"/>
    <w:rsid w:val="002213DE"/>
    <w:rsid w:val="0022140E"/>
    <w:rsid w:val="00221495"/>
    <w:rsid w:val="002215D6"/>
    <w:rsid w:val="0022564C"/>
    <w:rsid w:val="0022740D"/>
    <w:rsid w:val="00230268"/>
    <w:rsid w:val="00233C3B"/>
    <w:rsid w:val="002340B7"/>
    <w:rsid w:val="00235148"/>
    <w:rsid w:val="00240BEB"/>
    <w:rsid w:val="00240C7D"/>
    <w:rsid w:val="00241758"/>
    <w:rsid w:val="00241DBE"/>
    <w:rsid w:val="002425BB"/>
    <w:rsid w:val="002435EB"/>
    <w:rsid w:val="00245908"/>
    <w:rsid w:val="002560D5"/>
    <w:rsid w:val="00256F6F"/>
    <w:rsid w:val="00260C7C"/>
    <w:rsid w:val="0026264F"/>
    <w:rsid w:val="002633C0"/>
    <w:rsid w:val="00265C72"/>
    <w:rsid w:val="0026681C"/>
    <w:rsid w:val="00272A9A"/>
    <w:rsid w:val="00272BCA"/>
    <w:rsid w:val="002757B5"/>
    <w:rsid w:val="00277C93"/>
    <w:rsid w:val="00283B76"/>
    <w:rsid w:val="00286A5B"/>
    <w:rsid w:val="00286BFD"/>
    <w:rsid w:val="002924BB"/>
    <w:rsid w:val="00292684"/>
    <w:rsid w:val="00292E94"/>
    <w:rsid w:val="0029348A"/>
    <w:rsid w:val="00293D86"/>
    <w:rsid w:val="00294407"/>
    <w:rsid w:val="00295572"/>
    <w:rsid w:val="002956A3"/>
    <w:rsid w:val="002A53B1"/>
    <w:rsid w:val="002A6273"/>
    <w:rsid w:val="002A7BCC"/>
    <w:rsid w:val="002B55FA"/>
    <w:rsid w:val="002B64E8"/>
    <w:rsid w:val="002B6D5C"/>
    <w:rsid w:val="002B6FE9"/>
    <w:rsid w:val="002C003D"/>
    <w:rsid w:val="002C3136"/>
    <w:rsid w:val="002C3156"/>
    <w:rsid w:val="002C6955"/>
    <w:rsid w:val="002D12B4"/>
    <w:rsid w:val="002D481C"/>
    <w:rsid w:val="002D655D"/>
    <w:rsid w:val="002E3060"/>
    <w:rsid w:val="002E3ABF"/>
    <w:rsid w:val="002E3EEF"/>
    <w:rsid w:val="002F02D4"/>
    <w:rsid w:val="002F05FB"/>
    <w:rsid w:val="002F0ABD"/>
    <w:rsid w:val="002F10B1"/>
    <w:rsid w:val="002F138C"/>
    <w:rsid w:val="002F186D"/>
    <w:rsid w:val="002F3617"/>
    <w:rsid w:val="002F3ABA"/>
    <w:rsid w:val="002F4A00"/>
    <w:rsid w:val="002F4EDB"/>
    <w:rsid w:val="002F5CE6"/>
    <w:rsid w:val="002F6D9F"/>
    <w:rsid w:val="00303A29"/>
    <w:rsid w:val="003053C3"/>
    <w:rsid w:val="00305571"/>
    <w:rsid w:val="00306985"/>
    <w:rsid w:val="00306A14"/>
    <w:rsid w:val="0031128E"/>
    <w:rsid w:val="00312AD9"/>
    <w:rsid w:val="003150D0"/>
    <w:rsid w:val="00315387"/>
    <w:rsid w:val="00317CB7"/>
    <w:rsid w:val="00320F4F"/>
    <w:rsid w:val="003211C1"/>
    <w:rsid w:val="00321AED"/>
    <w:rsid w:val="0032673E"/>
    <w:rsid w:val="00330BCF"/>
    <w:rsid w:val="003314FA"/>
    <w:rsid w:val="00332279"/>
    <w:rsid w:val="00332B02"/>
    <w:rsid w:val="0033391E"/>
    <w:rsid w:val="00334C07"/>
    <w:rsid w:val="00341A4A"/>
    <w:rsid w:val="003447BE"/>
    <w:rsid w:val="003475A6"/>
    <w:rsid w:val="00351649"/>
    <w:rsid w:val="00354DFC"/>
    <w:rsid w:val="00356A0D"/>
    <w:rsid w:val="00357DE9"/>
    <w:rsid w:val="00364090"/>
    <w:rsid w:val="00364790"/>
    <w:rsid w:val="00364BC0"/>
    <w:rsid w:val="00372309"/>
    <w:rsid w:val="00373FC6"/>
    <w:rsid w:val="003755FA"/>
    <w:rsid w:val="00375BBD"/>
    <w:rsid w:val="00376197"/>
    <w:rsid w:val="00385193"/>
    <w:rsid w:val="003865BA"/>
    <w:rsid w:val="00387043"/>
    <w:rsid w:val="003875F4"/>
    <w:rsid w:val="00392A6D"/>
    <w:rsid w:val="00392BAE"/>
    <w:rsid w:val="00393CC0"/>
    <w:rsid w:val="003A1830"/>
    <w:rsid w:val="003A436F"/>
    <w:rsid w:val="003B0F6F"/>
    <w:rsid w:val="003B14A3"/>
    <w:rsid w:val="003B31FF"/>
    <w:rsid w:val="003B5F8E"/>
    <w:rsid w:val="003B6CA1"/>
    <w:rsid w:val="003C0795"/>
    <w:rsid w:val="003C0FF8"/>
    <w:rsid w:val="003C5C88"/>
    <w:rsid w:val="003C7089"/>
    <w:rsid w:val="003C733A"/>
    <w:rsid w:val="003D04CE"/>
    <w:rsid w:val="003D16FD"/>
    <w:rsid w:val="003D60FC"/>
    <w:rsid w:val="003E02E6"/>
    <w:rsid w:val="003E2144"/>
    <w:rsid w:val="003E3481"/>
    <w:rsid w:val="003E4A65"/>
    <w:rsid w:val="003E4B57"/>
    <w:rsid w:val="003F10E4"/>
    <w:rsid w:val="003F2D16"/>
    <w:rsid w:val="003F49E0"/>
    <w:rsid w:val="003F5187"/>
    <w:rsid w:val="003F5F68"/>
    <w:rsid w:val="003F6EA7"/>
    <w:rsid w:val="00401743"/>
    <w:rsid w:val="00402A27"/>
    <w:rsid w:val="00407509"/>
    <w:rsid w:val="00407CBB"/>
    <w:rsid w:val="0041318E"/>
    <w:rsid w:val="00413D3E"/>
    <w:rsid w:val="00414374"/>
    <w:rsid w:val="00414770"/>
    <w:rsid w:val="0041586E"/>
    <w:rsid w:val="00415939"/>
    <w:rsid w:val="004314E1"/>
    <w:rsid w:val="00435B0B"/>
    <w:rsid w:val="004366E6"/>
    <w:rsid w:val="004370E8"/>
    <w:rsid w:val="00437144"/>
    <w:rsid w:val="00440010"/>
    <w:rsid w:val="00441C4A"/>
    <w:rsid w:val="00444899"/>
    <w:rsid w:val="00444C31"/>
    <w:rsid w:val="00445FA5"/>
    <w:rsid w:val="00446464"/>
    <w:rsid w:val="0045032D"/>
    <w:rsid w:val="00450440"/>
    <w:rsid w:val="0045161A"/>
    <w:rsid w:val="00454A16"/>
    <w:rsid w:val="004554D0"/>
    <w:rsid w:val="00457256"/>
    <w:rsid w:val="00457785"/>
    <w:rsid w:val="004610A3"/>
    <w:rsid w:val="004638F5"/>
    <w:rsid w:val="004639C8"/>
    <w:rsid w:val="00464B83"/>
    <w:rsid w:val="00464D8D"/>
    <w:rsid w:val="00465303"/>
    <w:rsid w:val="00471DAC"/>
    <w:rsid w:val="004722D0"/>
    <w:rsid w:val="00472ACD"/>
    <w:rsid w:val="00473478"/>
    <w:rsid w:val="0047479A"/>
    <w:rsid w:val="00474A81"/>
    <w:rsid w:val="00474CB3"/>
    <w:rsid w:val="00475345"/>
    <w:rsid w:val="00476445"/>
    <w:rsid w:val="0047645F"/>
    <w:rsid w:val="0047672C"/>
    <w:rsid w:val="00477DA7"/>
    <w:rsid w:val="00480F72"/>
    <w:rsid w:val="00481231"/>
    <w:rsid w:val="004817FA"/>
    <w:rsid w:val="004828A9"/>
    <w:rsid w:val="00483CFC"/>
    <w:rsid w:val="00485E30"/>
    <w:rsid w:val="00485F0E"/>
    <w:rsid w:val="0049176C"/>
    <w:rsid w:val="00492141"/>
    <w:rsid w:val="00494212"/>
    <w:rsid w:val="004945E0"/>
    <w:rsid w:val="00494E61"/>
    <w:rsid w:val="004A0E8A"/>
    <w:rsid w:val="004A6AB9"/>
    <w:rsid w:val="004A73DF"/>
    <w:rsid w:val="004A78D6"/>
    <w:rsid w:val="004A7EED"/>
    <w:rsid w:val="004B10D3"/>
    <w:rsid w:val="004B2DA9"/>
    <w:rsid w:val="004B2FDB"/>
    <w:rsid w:val="004B3EBA"/>
    <w:rsid w:val="004B4300"/>
    <w:rsid w:val="004B5463"/>
    <w:rsid w:val="004B78EF"/>
    <w:rsid w:val="004C0EDD"/>
    <w:rsid w:val="004C360D"/>
    <w:rsid w:val="004C3A82"/>
    <w:rsid w:val="004C52C2"/>
    <w:rsid w:val="004C6DBD"/>
    <w:rsid w:val="004C7800"/>
    <w:rsid w:val="004D0F25"/>
    <w:rsid w:val="004D1E80"/>
    <w:rsid w:val="004D4CF4"/>
    <w:rsid w:val="004E1151"/>
    <w:rsid w:val="004E1187"/>
    <w:rsid w:val="004E1DB5"/>
    <w:rsid w:val="004E22DF"/>
    <w:rsid w:val="004E5832"/>
    <w:rsid w:val="004F029C"/>
    <w:rsid w:val="004F31D1"/>
    <w:rsid w:val="004F3600"/>
    <w:rsid w:val="004F5179"/>
    <w:rsid w:val="004F6617"/>
    <w:rsid w:val="00500BE0"/>
    <w:rsid w:val="005017DC"/>
    <w:rsid w:val="00501961"/>
    <w:rsid w:val="00502C8F"/>
    <w:rsid w:val="00502E31"/>
    <w:rsid w:val="00503D96"/>
    <w:rsid w:val="0050444B"/>
    <w:rsid w:val="00507054"/>
    <w:rsid w:val="00511048"/>
    <w:rsid w:val="005118FF"/>
    <w:rsid w:val="0052700C"/>
    <w:rsid w:val="00530FF3"/>
    <w:rsid w:val="00531649"/>
    <w:rsid w:val="00532223"/>
    <w:rsid w:val="0053311C"/>
    <w:rsid w:val="00533527"/>
    <w:rsid w:val="00533940"/>
    <w:rsid w:val="005351A7"/>
    <w:rsid w:val="00540F66"/>
    <w:rsid w:val="005422DA"/>
    <w:rsid w:val="00546167"/>
    <w:rsid w:val="00546216"/>
    <w:rsid w:val="0055310B"/>
    <w:rsid w:val="005617A0"/>
    <w:rsid w:val="005635B2"/>
    <w:rsid w:val="00565CFD"/>
    <w:rsid w:val="00571572"/>
    <w:rsid w:val="00571720"/>
    <w:rsid w:val="00583D64"/>
    <w:rsid w:val="00585FCD"/>
    <w:rsid w:val="005869B5"/>
    <w:rsid w:val="0059155B"/>
    <w:rsid w:val="00592862"/>
    <w:rsid w:val="005936E9"/>
    <w:rsid w:val="005942AA"/>
    <w:rsid w:val="00597A94"/>
    <w:rsid w:val="005A28CB"/>
    <w:rsid w:val="005B2BA7"/>
    <w:rsid w:val="005B5822"/>
    <w:rsid w:val="005B6483"/>
    <w:rsid w:val="005B6C88"/>
    <w:rsid w:val="005B6EEB"/>
    <w:rsid w:val="005C4B9A"/>
    <w:rsid w:val="005C6161"/>
    <w:rsid w:val="005C621D"/>
    <w:rsid w:val="005D12B5"/>
    <w:rsid w:val="005D1307"/>
    <w:rsid w:val="005D6D89"/>
    <w:rsid w:val="005E0251"/>
    <w:rsid w:val="005E05E1"/>
    <w:rsid w:val="005E078B"/>
    <w:rsid w:val="005E208B"/>
    <w:rsid w:val="005E2AE5"/>
    <w:rsid w:val="005E3E2B"/>
    <w:rsid w:val="005E571D"/>
    <w:rsid w:val="005E6FBB"/>
    <w:rsid w:val="005F0BAF"/>
    <w:rsid w:val="005F0E50"/>
    <w:rsid w:val="005F1FA2"/>
    <w:rsid w:val="005F56B8"/>
    <w:rsid w:val="005F6630"/>
    <w:rsid w:val="0060035A"/>
    <w:rsid w:val="00600B05"/>
    <w:rsid w:val="00600D94"/>
    <w:rsid w:val="00604041"/>
    <w:rsid w:val="00604F0C"/>
    <w:rsid w:val="006050ED"/>
    <w:rsid w:val="0060524A"/>
    <w:rsid w:val="00614737"/>
    <w:rsid w:val="0061664A"/>
    <w:rsid w:val="00616920"/>
    <w:rsid w:val="00620359"/>
    <w:rsid w:val="00621965"/>
    <w:rsid w:val="006244F9"/>
    <w:rsid w:val="0062612B"/>
    <w:rsid w:val="00627A2E"/>
    <w:rsid w:val="00630EBB"/>
    <w:rsid w:val="00631FCE"/>
    <w:rsid w:val="00632E18"/>
    <w:rsid w:val="0063519F"/>
    <w:rsid w:val="00635296"/>
    <w:rsid w:val="00636A78"/>
    <w:rsid w:val="0064078B"/>
    <w:rsid w:val="00640BA9"/>
    <w:rsid w:val="006420CF"/>
    <w:rsid w:val="00643AF0"/>
    <w:rsid w:val="006445EC"/>
    <w:rsid w:val="0064497F"/>
    <w:rsid w:val="00645D22"/>
    <w:rsid w:val="006470BF"/>
    <w:rsid w:val="006471F9"/>
    <w:rsid w:val="006475FE"/>
    <w:rsid w:val="00650230"/>
    <w:rsid w:val="00651FF8"/>
    <w:rsid w:val="0065295D"/>
    <w:rsid w:val="00653879"/>
    <w:rsid w:val="00655099"/>
    <w:rsid w:val="00655B5E"/>
    <w:rsid w:val="00657DA3"/>
    <w:rsid w:val="00657E8D"/>
    <w:rsid w:val="006604C2"/>
    <w:rsid w:val="00660824"/>
    <w:rsid w:val="00663563"/>
    <w:rsid w:val="006644E2"/>
    <w:rsid w:val="00665158"/>
    <w:rsid w:val="00665F31"/>
    <w:rsid w:val="0066644C"/>
    <w:rsid w:val="00667FE8"/>
    <w:rsid w:val="00671719"/>
    <w:rsid w:val="006725E9"/>
    <w:rsid w:val="00675032"/>
    <w:rsid w:val="00682BA5"/>
    <w:rsid w:val="00684D97"/>
    <w:rsid w:val="00686BC1"/>
    <w:rsid w:val="00691A81"/>
    <w:rsid w:val="0069303B"/>
    <w:rsid w:val="0069333F"/>
    <w:rsid w:val="0069477D"/>
    <w:rsid w:val="00695264"/>
    <w:rsid w:val="006963C8"/>
    <w:rsid w:val="006966D8"/>
    <w:rsid w:val="006A5889"/>
    <w:rsid w:val="006B21F9"/>
    <w:rsid w:val="006B330B"/>
    <w:rsid w:val="006B5823"/>
    <w:rsid w:val="006B5F2F"/>
    <w:rsid w:val="006C1D4C"/>
    <w:rsid w:val="006C3642"/>
    <w:rsid w:val="006C4662"/>
    <w:rsid w:val="006C471B"/>
    <w:rsid w:val="006D2901"/>
    <w:rsid w:val="006D2907"/>
    <w:rsid w:val="006D4796"/>
    <w:rsid w:val="006D6A93"/>
    <w:rsid w:val="006D7ED0"/>
    <w:rsid w:val="006E4AB2"/>
    <w:rsid w:val="006E4DDC"/>
    <w:rsid w:val="006E539E"/>
    <w:rsid w:val="006E75FF"/>
    <w:rsid w:val="006F0B9F"/>
    <w:rsid w:val="006F0D33"/>
    <w:rsid w:val="006F34B7"/>
    <w:rsid w:val="006F39FE"/>
    <w:rsid w:val="00701A33"/>
    <w:rsid w:val="00703698"/>
    <w:rsid w:val="00703DBD"/>
    <w:rsid w:val="007054C2"/>
    <w:rsid w:val="00712909"/>
    <w:rsid w:val="0071369E"/>
    <w:rsid w:val="0071384E"/>
    <w:rsid w:val="00715F75"/>
    <w:rsid w:val="00716257"/>
    <w:rsid w:val="007263DA"/>
    <w:rsid w:val="007272C7"/>
    <w:rsid w:val="00727EF0"/>
    <w:rsid w:val="00734149"/>
    <w:rsid w:val="00736A3F"/>
    <w:rsid w:val="00736D3A"/>
    <w:rsid w:val="0074082A"/>
    <w:rsid w:val="00740A99"/>
    <w:rsid w:val="00742B23"/>
    <w:rsid w:val="00742D26"/>
    <w:rsid w:val="00743826"/>
    <w:rsid w:val="007449CA"/>
    <w:rsid w:val="00745026"/>
    <w:rsid w:val="00745761"/>
    <w:rsid w:val="00747661"/>
    <w:rsid w:val="00750741"/>
    <w:rsid w:val="007530BF"/>
    <w:rsid w:val="007538E3"/>
    <w:rsid w:val="00753D15"/>
    <w:rsid w:val="00760E45"/>
    <w:rsid w:val="00762C6B"/>
    <w:rsid w:val="00765380"/>
    <w:rsid w:val="00770504"/>
    <w:rsid w:val="0077634B"/>
    <w:rsid w:val="00777B7D"/>
    <w:rsid w:val="00780022"/>
    <w:rsid w:val="00781DC6"/>
    <w:rsid w:val="007826C4"/>
    <w:rsid w:val="00782924"/>
    <w:rsid w:val="0078626A"/>
    <w:rsid w:val="007910AE"/>
    <w:rsid w:val="00791E78"/>
    <w:rsid w:val="0079405F"/>
    <w:rsid w:val="00795633"/>
    <w:rsid w:val="00796303"/>
    <w:rsid w:val="007A4538"/>
    <w:rsid w:val="007A45C8"/>
    <w:rsid w:val="007A57F4"/>
    <w:rsid w:val="007A5CB7"/>
    <w:rsid w:val="007A6EFD"/>
    <w:rsid w:val="007A73D0"/>
    <w:rsid w:val="007B3452"/>
    <w:rsid w:val="007B4B36"/>
    <w:rsid w:val="007B76E7"/>
    <w:rsid w:val="007B7BCD"/>
    <w:rsid w:val="007C0892"/>
    <w:rsid w:val="007C27D1"/>
    <w:rsid w:val="007C2A36"/>
    <w:rsid w:val="007C2A89"/>
    <w:rsid w:val="007C7304"/>
    <w:rsid w:val="007D537E"/>
    <w:rsid w:val="007D7B50"/>
    <w:rsid w:val="007D7F2B"/>
    <w:rsid w:val="007E04C6"/>
    <w:rsid w:val="007E3764"/>
    <w:rsid w:val="007E7F8F"/>
    <w:rsid w:val="007F2993"/>
    <w:rsid w:val="007F4B0F"/>
    <w:rsid w:val="007F4EAA"/>
    <w:rsid w:val="007F5841"/>
    <w:rsid w:val="008001AF"/>
    <w:rsid w:val="008018B4"/>
    <w:rsid w:val="00810A63"/>
    <w:rsid w:val="00810F7C"/>
    <w:rsid w:val="008116A5"/>
    <w:rsid w:val="00813A41"/>
    <w:rsid w:val="00813BFA"/>
    <w:rsid w:val="00814CA9"/>
    <w:rsid w:val="008161E4"/>
    <w:rsid w:val="00822229"/>
    <w:rsid w:val="0082375E"/>
    <w:rsid w:val="00825B24"/>
    <w:rsid w:val="00830BF1"/>
    <w:rsid w:val="008314F8"/>
    <w:rsid w:val="00834017"/>
    <w:rsid w:val="00834B7B"/>
    <w:rsid w:val="008352E4"/>
    <w:rsid w:val="0084106F"/>
    <w:rsid w:val="008419C1"/>
    <w:rsid w:val="008457DD"/>
    <w:rsid w:val="00846EE2"/>
    <w:rsid w:val="00847E58"/>
    <w:rsid w:val="00852360"/>
    <w:rsid w:val="00857407"/>
    <w:rsid w:val="00857A21"/>
    <w:rsid w:val="00860F67"/>
    <w:rsid w:val="00862CAC"/>
    <w:rsid w:val="008667A0"/>
    <w:rsid w:val="008729AE"/>
    <w:rsid w:val="00874B2C"/>
    <w:rsid w:val="00875D89"/>
    <w:rsid w:val="008774F8"/>
    <w:rsid w:val="00886965"/>
    <w:rsid w:val="008870C2"/>
    <w:rsid w:val="00887239"/>
    <w:rsid w:val="0089045D"/>
    <w:rsid w:val="00890584"/>
    <w:rsid w:val="00891225"/>
    <w:rsid w:val="0089146C"/>
    <w:rsid w:val="008922FE"/>
    <w:rsid w:val="00894040"/>
    <w:rsid w:val="008957E0"/>
    <w:rsid w:val="008A2FE3"/>
    <w:rsid w:val="008B0A65"/>
    <w:rsid w:val="008B1D79"/>
    <w:rsid w:val="008B5744"/>
    <w:rsid w:val="008B5BFB"/>
    <w:rsid w:val="008B6094"/>
    <w:rsid w:val="008C2BCB"/>
    <w:rsid w:val="008C4354"/>
    <w:rsid w:val="008C5D46"/>
    <w:rsid w:val="008C6AF4"/>
    <w:rsid w:val="008C6EBB"/>
    <w:rsid w:val="008D0863"/>
    <w:rsid w:val="008D1FC7"/>
    <w:rsid w:val="008D3FC6"/>
    <w:rsid w:val="008D62E7"/>
    <w:rsid w:val="008D6DB2"/>
    <w:rsid w:val="008E37A9"/>
    <w:rsid w:val="008E7223"/>
    <w:rsid w:val="008F11DF"/>
    <w:rsid w:val="008F2508"/>
    <w:rsid w:val="008F3F34"/>
    <w:rsid w:val="008F4FE1"/>
    <w:rsid w:val="008F7719"/>
    <w:rsid w:val="00900CA9"/>
    <w:rsid w:val="009078BC"/>
    <w:rsid w:val="00907A46"/>
    <w:rsid w:val="0091279F"/>
    <w:rsid w:val="00914A9E"/>
    <w:rsid w:val="009163E7"/>
    <w:rsid w:val="00917933"/>
    <w:rsid w:val="0092048E"/>
    <w:rsid w:val="0092238E"/>
    <w:rsid w:val="0092239B"/>
    <w:rsid w:val="00923067"/>
    <w:rsid w:val="0092319C"/>
    <w:rsid w:val="0092429A"/>
    <w:rsid w:val="00926F4C"/>
    <w:rsid w:val="0093176E"/>
    <w:rsid w:val="00933FAF"/>
    <w:rsid w:val="0093567A"/>
    <w:rsid w:val="00936CE1"/>
    <w:rsid w:val="00937705"/>
    <w:rsid w:val="00942112"/>
    <w:rsid w:val="00943AA1"/>
    <w:rsid w:val="0094563C"/>
    <w:rsid w:val="00945DC6"/>
    <w:rsid w:val="00947C3B"/>
    <w:rsid w:val="00947D68"/>
    <w:rsid w:val="0095271C"/>
    <w:rsid w:val="00952BAF"/>
    <w:rsid w:val="009536ED"/>
    <w:rsid w:val="00953714"/>
    <w:rsid w:val="009545D4"/>
    <w:rsid w:val="00955590"/>
    <w:rsid w:val="00956CEF"/>
    <w:rsid w:val="009612E0"/>
    <w:rsid w:val="009614F0"/>
    <w:rsid w:val="0096284D"/>
    <w:rsid w:val="009641CA"/>
    <w:rsid w:val="009650F4"/>
    <w:rsid w:val="00965512"/>
    <w:rsid w:val="009670C5"/>
    <w:rsid w:val="00972477"/>
    <w:rsid w:val="009749D7"/>
    <w:rsid w:val="00983051"/>
    <w:rsid w:val="009845F1"/>
    <w:rsid w:val="00985017"/>
    <w:rsid w:val="0098777C"/>
    <w:rsid w:val="0099226E"/>
    <w:rsid w:val="00992DEC"/>
    <w:rsid w:val="00993009"/>
    <w:rsid w:val="00993F14"/>
    <w:rsid w:val="00995E7E"/>
    <w:rsid w:val="009A3EF7"/>
    <w:rsid w:val="009A566F"/>
    <w:rsid w:val="009A581D"/>
    <w:rsid w:val="009B07B8"/>
    <w:rsid w:val="009B1A4D"/>
    <w:rsid w:val="009B365E"/>
    <w:rsid w:val="009B4692"/>
    <w:rsid w:val="009C36C8"/>
    <w:rsid w:val="009D188A"/>
    <w:rsid w:val="009D1AFE"/>
    <w:rsid w:val="009D299D"/>
    <w:rsid w:val="009D69C3"/>
    <w:rsid w:val="009D6BF2"/>
    <w:rsid w:val="009D7ABF"/>
    <w:rsid w:val="009D7AD4"/>
    <w:rsid w:val="009E10C2"/>
    <w:rsid w:val="009E2519"/>
    <w:rsid w:val="009E3F3D"/>
    <w:rsid w:val="009E4438"/>
    <w:rsid w:val="009E746D"/>
    <w:rsid w:val="009F0B60"/>
    <w:rsid w:val="009F6AB4"/>
    <w:rsid w:val="00A07401"/>
    <w:rsid w:val="00A11791"/>
    <w:rsid w:val="00A12F9B"/>
    <w:rsid w:val="00A13B25"/>
    <w:rsid w:val="00A13EB5"/>
    <w:rsid w:val="00A140C9"/>
    <w:rsid w:val="00A15CAA"/>
    <w:rsid w:val="00A16289"/>
    <w:rsid w:val="00A22E2C"/>
    <w:rsid w:val="00A24F9C"/>
    <w:rsid w:val="00A27BFE"/>
    <w:rsid w:val="00A31688"/>
    <w:rsid w:val="00A32BA4"/>
    <w:rsid w:val="00A347C4"/>
    <w:rsid w:val="00A35155"/>
    <w:rsid w:val="00A364A6"/>
    <w:rsid w:val="00A37785"/>
    <w:rsid w:val="00A4574E"/>
    <w:rsid w:val="00A45D20"/>
    <w:rsid w:val="00A462EB"/>
    <w:rsid w:val="00A51AFB"/>
    <w:rsid w:val="00A52687"/>
    <w:rsid w:val="00A66388"/>
    <w:rsid w:val="00A67A92"/>
    <w:rsid w:val="00A72B8C"/>
    <w:rsid w:val="00A75641"/>
    <w:rsid w:val="00A7690A"/>
    <w:rsid w:val="00A76CB0"/>
    <w:rsid w:val="00A8227E"/>
    <w:rsid w:val="00A83365"/>
    <w:rsid w:val="00A83CC5"/>
    <w:rsid w:val="00A84ACB"/>
    <w:rsid w:val="00A85155"/>
    <w:rsid w:val="00A87429"/>
    <w:rsid w:val="00A936A2"/>
    <w:rsid w:val="00A9376F"/>
    <w:rsid w:val="00A97EC0"/>
    <w:rsid w:val="00AA5AA8"/>
    <w:rsid w:val="00AB1A4F"/>
    <w:rsid w:val="00AB245C"/>
    <w:rsid w:val="00AB3479"/>
    <w:rsid w:val="00AB6856"/>
    <w:rsid w:val="00AB7F4B"/>
    <w:rsid w:val="00AC3DC6"/>
    <w:rsid w:val="00AC4970"/>
    <w:rsid w:val="00AC5A26"/>
    <w:rsid w:val="00AC630C"/>
    <w:rsid w:val="00AD1775"/>
    <w:rsid w:val="00AD1D24"/>
    <w:rsid w:val="00AD5C72"/>
    <w:rsid w:val="00AE267C"/>
    <w:rsid w:val="00AE48B3"/>
    <w:rsid w:val="00AF0B6A"/>
    <w:rsid w:val="00AF218C"/>
    <w:rsid w:val="00AF239A"/>
    <w:rsid w:val="00AF2ABB"/>
    <w:rsid w:val="00AF2DEF"/>
    <w:rsid w:val="00AF48BE"/>
    <w:rsid w:val="00B00A41"/>
    <w:rsid w:val="00B13E31"/>
    <w:rsid w:val="00B1551A"/>
    <w:rsid w:val="00B168A8"/>
    <w:rsid w:val="00B213F4"/>
    <w:rsid w:val="00B24A23"/>
    <w:rsid w:val="00B24E66"/>
    <w:rsid w:val="00B276CF"/>
    <w:rsid w:val="00B27838"/>
    <w:rsid w:val="00B30EC1"/>
    <w:rsid w:val="00B313F0"/>
    <w:rsid w:val="00B31E30"/>
    <w:rsid w:val="00B326DF"/>
    <w:rsid w:val="00B32A1A"/>
    <w:rsid w:val="00B378E4"/>
    <w:rsid w:val="00B37A38"/>
    <w:rsid w:val="00B40A9C"/>
    <w:rsid w:val="00B45AE0"/>
    <w:rsid w:val="00B46234"/>
    <w:rsid w:val="00B46F00"/>
    <w:rsid w:val="00B53E5B"/>
    <w:rsid w:val="00B53F5D"/>
    <w:rsid w:val="00B54F59"/>
    <w:rsid w:val="00B57804"/>
    <w:rsid w:val="00B601A7"/>
    <w:rsid w:val="00B63D8A"/>
    <w:rsid w:val="00B658A5"/>
    <w:rsid w:val="00B66FF2"/>
    <w:rsid w:val="00B74966"/>
    <w:rsid w:val="00B81C05"/>
    <w:rsid w:val="00B82612"/>
    <w:rsid w:val="00B85439"/>
    <w:rsid w:val="00B86137"/>
    <w:rsid w:val="00B91BD4"/>
    <w:rsid w:val="00B948D5"/>
    <w:rsid w:val="00B971A7"/>
    <w:rsid w:val="00BA0EDB"/>
    <w:rsid w:val="00BA2BFF"/>
    <w:rsid w:val="00BA391E"/>
    <w:rsid w:val="00BA4D06"/>
    <w:rsid w:val="00BA71B6"/>
    <w:rsid w:val="00BB0014"/>
    <w:rsid w:val="00BB0643"/>
    <w:rsid w:val="00BB0B1D"/>
    <w:rsid w:val="00BB21DF"/>
    <w:rsid w:val="00BB5BA5"/>
    <w:rsid w:val="00BB693D"/>
    <w:rsid w:val="00BB6EBB"/>
    <w:rsid w:val="00BB7A1D"/>
    <w:rsid w:val="00BC17BC"/>
    <w:rsid w:val="00BC3E6D"/>
    <w:rsid w:val="00BC4700"/>
    <w:rsid w:val="00BD0CEB"/>
    <w:rsid w:val="00BD2024"/>
    <w:rsid w:val="00BD2DD7"/>
    <w:rsid w:val="00BD2F28"/>
    <w:rsid w:val="00BD698F"/>
    <w:rsid w:val="00BE1842"/>
    <w:rsid w:val="00BE27F2"/>
    <w:rsid w:val="00BE3CCD"/>
    <w:rsid w:val="00BE4CBE"/>
    <w:rsid w:val="00BE6174"/>
    <w:rsid w:val="00BF1F79"/>
    <w:rsid w:val="00BF40FB"/>
    <w:rsid w:val="00BF4C9F"/>
    <w:rsid w:val="00BF579A"/>
    <w:rsid w:val="00BF66C7"/>
    <w:rsid w:val="00BF68EB"/>
    <w:rsid w:val="00BF6D93"/>
    <w:rsid w:val="00C100A8"/>
    <w:rsid w:val="00C10AE5"/>
    <w:rsid w:val="00C10DFB"/>
    <w:rsid w:val="00C12A32"/>
    <w:rsid w:val="00C13076"/>
    <w:rsid w:val="00C149B1"/>
    <w:rsid w:val="00C14A11"/>
    <w:rsid w:val="00C163E7"/>
    <w:rsid w:val="00C179C3"/>
    <w:rsid w:val="00C20A8C"/>
    <w:rsid w:val="00C2469B"/>
    <w:rsid w:val="00C3088E"/>
    <w:rsid w:val="00C32B8D"/>
    <w:rsid w:val="00C33943"/>
    <w:rsid w:val="00C3706C"/>
    <w:rsid w:val="00C37C09"/>
    <w:rsid w:val="00C411EE"/>
    <w:rsid w:val="00C44202"/>
    <w:rsid w:val="00C4447E"/>
    <w:rsid w:val="00C538E2"/>
    <w:rsid w:val="00C54709"/>
    <w:rsid w:val="00C606B1"/>
    <w:rsid w:val="00C63DF3"/>
    <w:rsid w:val="00C66604"/>
    <w:rsid w:val="00C67B98"/>
    <w:rsid w:val="00C70F56"/>
    <w:rsid w:val="00C72A23"/>
    <w:rsid w:val="00C7343E"/>
    <w:rsid w:val="00C776AF"/>
    <w:rsid w:val="00C8182C"/>
    <w:rsid w:val="00C8301D"/>
    <w:rsid w:val="00C844C2"/>
    <w:rsid w:val="00C91B58"/>
    <w:rsid w:val="00C936B6"/>
    <w:rsid w:val="00C9385E"/>
    <w:rsid w:val="00C9494D"/>
    <w:rsid w:val="00C9586D"/>
    <w:rsid w:val="00C96913"/>
    <w:rsid w:val="00CA0B4C"/>
    <w:rsid w:val="00CA19D3"/>
    <w:rsid w:val="00CA47F7"/>
    <w:rsid w:val="00CB0BEF"/>
    <w:rsid w:val="00CB282A"/>
    <w:rsid w:val="00CB4120"/>
    <w:rsid w:val="00CB5036"/>
    <w:rsid w:val="00CB60C8"/>
    <w:rsid w:val="00CC06A2"/>
    <w:rsid w:val="00CC22D5"/>
    <w:rsid w:val="00CC29E8"/>
    <w:rsid w:val="00CC2B0F"/>
    <w:rsid w:val="00CC2F40"/>
    <w:rsid w:val="00CC3F51"/>
    <w:rsid w:val="00CC4DB5"/>
    <w:rsid w:val="00CC4FDB"/>
    <w:rsid w:val="00CD5E8F"/>
    <w:rsid w:val="00CE081A"/>
    <w:rsid w:val="00CE11CB"/>
    <w:rsid w:val="00CE79F4"/>
    <w:rsid w:val="00CF43AB"/>
    <w:rsid w:val="00CF500A"/>
    <w:rsid w:val="00CF6132"/>
    <w:rsid w:val="00CF6607"/>
    <w:rsid w:val="00D017E5"/>
    <w:rsid w:val="00D046B1"/>
    <w:rsid w:val="00D06517"/>
    <w:rsid w:val="00D06F5B"/>
    <w:rsid w:val="00D110F9"/>
    <w:rsid w:val="00D111BA"/>
    <w:rsid w:val="00D148AC"/>
    <w:rsid w:val="00D158DF"/>
    <w:rsid w:val="00D159B8"/>
    <w:rsid w:val="00D17655"/>
    <w:rsid w:val="00D20AFA"/>
    <w:rsid w:val="00D24C8D"/>
    <w:rsid w:val="00D26724"/>
    <w:rsid w:val="00D27B44"/>
    <w:rsid w:val="00D36034"/>
    <w:rsid w:val="00D361E4"/>
    <w:rsid w:val="00D439E6"/>
    <w:rsid w:val="00D44139"/>
    <w:rsid w:val="00D453ED"/>
    <w:rsid w:val="00D45561"/>
    <w:rsid w:val="00D463B1"/>
    <w:rsid w:val="00D46F91"/>
    <w:rsid w:val="00D47919"/>
    <w:rsid w:val="00D56082"/>
    <w:rsid w:val="00D5637C"/>
    <w:rsid w:val="00D60AD9"/>
    <w:rsid w:val="00D611D6"/>
    <w:rsid w:val="00D672EC"/>
    <w:rsid w:val="00D76B53"/>
    <w:rsid w:val="00D800EC"/>
    <w:rsid w:val="00D8170C"/>
    <w:rsid w:val="00D81CA9"/>
    <w:rsid w:val="00D87DE5"/>
    <w:rsid w:val="00D91ADA"/>
    <w:rsid w:val="00D9233F"/>
    <w:rsid w:val="00D9240C"/>
    <w:rsid w:val="00D93FE6"/>
    <w:rsid w:val="00D97776"/>
    <w:rsid w:val="00DA1FA2"/>
    <w:rsid w:val="00DA30BF"/>
    <w:rsid w:val="00DA55BD"/>
    <w:rsid w:val="00DA7959"/>
    <w:rsid w:val="00DB1085"/>
    <w:rsid w:val="00DB4796"/>
    <w:rsid w:val="00DB5A23"/>
    <w:rsid w:val="00DB65B1"/>
    <w:rsid w:val="00DC2C17"/>
    <w:rsid w:val="00DC6595"/>
    <w:rsid w:val="00DC6805"/>
    <w:rsid w:val="00DD1E3C"/>
    <w:rsid w:val="00DD4C1B"/>
    <w:rsid w:val="00DD4CCB"/>
    <w:rsid w:val="00DD619A"/>
    <w:rsid w:val="00DD6A47"/>
    <w:rsid w:val="00DD7F7C"/>
    <w:rsid w:val="00DE1A96"/>
    <w:rsid w:val="00DE52BC"/>
    <w:rsid w:val="00DE605A"/>
    <w:rsid w:val="00DF070F"/>
    <w:rsid w:val="00DF30D1"/>
    <w:rsid w:val="00DF3BDD"/>
    <w:rsid w:val="00DF44B3"/>
    <w:rsid w:val="00DF4707"/>
    <w:rsid w:val="00DF56C4"/>
    <w:rsid w:val="00DF7ECF"/>
    <w:rsid w:val="00E04CAA"/>
    <w:rsid w:val="00E146BF"/>
    <w:rsid w:val="00E14D91"/>
    <w:rsid w:val="00E1624E"/>
    <w:rsid w:val="00E16979"/>
    <w:rsid w:val="00E23FF1"/>
    <w:rsid w:val="00E25A56"/>
    <w:rsid w:val="00E27176"/>
    <w:rsid w:val="00E278B6"/>
    <w:rsid w:val="00E3095F"/>
    <w:rsid w:val="00E3243E"/>
    <w:rsid w:val="00E36A5A"/>
    <w:rsid w:val="00E40654"/>
    <w:rsid w:val="00E438EB"/>
    <w:rsid w:val="00E45A5A"/>
    <w:rsid w:val="00E4683A"/>
    <w:rsid w:val="00E515C8"/>
    <w:rsid w:val="00E52038"/>
    <w:rsid w:val="00E579AB"/>
    <w:rsid w:val="00E64496"/>
    <w:rsid w:val="00E66D4A"/>
    <w:rsid w:val="00E732FB"/>
    <w:rsid w:val="00E74BCF"/>
    <w:rsid w:val="00E74EDB"/>
    <w:rsid w:val="00E7638C"/>
    <w:rsid w:val="00E76834"/>
    <w:rsid w:val="00E76E02"/>
    <w:rsid w:val="00E776B3"/>
    <w:rsid w:val="00E81924"/>
    <w:rsid w:val="00E8327D"/>
    <w:rsid w:val="00E903D5"/>
    <w:rsid w:val="00E95355"/>
    <w:rsid w:val="00E9639F"/>
    <w:rsid w:val="00EA1938"/>
    <w:rsid w:val="00EA6386"/>
    <w:rsid w:val="00EA68C3"/>
    <w:rsid w:val="00EA79E2"/>
    <w:rsid w:val="00EB111B"/>
    <w:rsid w:val="00EB204A"/>
    <w:rsid w:val="00EB260E"/>
    <w:rsid w:val="00EB438B"/>
    <w:rsid w:val="00EB4D32"/>
    <w:rsid w:val="00EB5EF4"/>
    <w:rsid w:val="00EB726E"/>
    <w:rsid w:val="00EC02D8"/>
    <w:rsid w:val="00EC2B33"/>
    <w:rsid w:val="00EC339B"/>
    <w:rsid w:val="00EC584B"/>
    <w:rsid w:val="00EC6497"/>
    <w:rsid w:val="00EC6C00"/>
    <w:rsid w:val="00ED08C7"/>
    <w:rsid w:val="00ED1165"/>
    <w:rsid w:val="00ED2F53"/>
    <w:rsid w:val="00ED5453"/>
    <w:rsid w:val="00ED5A93"/>
    <w:rsid w:val="00EE2AA8"/>
    <w:rsid w:val="00EE420B"/>
    <w:rsid w:val="00EF08F7"/>
    <w:rsid w:val="00EF0BDF"/>
    <w:rsid w:val="00EF30B4"/>
    <w:rsid w:val="00EF72BA"/>
    <w:rsid w:val="00F01A64"/>
    <w:rsid w:val="00F03861"/>
    <w:rsid w:val="00F05610"/>
    <w:rsid w:val="00F05812"/>
    <w:rsid w:val="00F14207"/>
    <w:rsid w:val="00F146C0"/>
    <w:rsid w:val="00F14F2C"/>
    <w:rsid w:val="00F204C1"/>
    <w:rsid w:val="00F22E6C"/>
    <w:rsid w:val="00F23C71"/>
    <w:rsid w:val="00F24B53"/>
    <w:rsid w:val="00F32F47"/>
    <w:rsid w:val="00F36717"/>
    <w:rsid w:val="00F373AC"/>
    <w:rsid w:val="00F37D9E"/>
    <w:rsid w:val="00F41AF1"/>
    <w:rsid w:val="00F4352E"/>
    <w:rsid w:val="00F45A9A"/>
    <w:rsid w:val="00F45F98"/>
    <w:rsid w:val="00F46459"/>
    <w:rsid w:val="00F47750"/>
    <w:rsid w:val="00F47F79"/>
    <w:rsid w:val="00F5010D"/>
    <w:rsid w:val="00F514F8"/>
    <w:rsid w:val="00F52146"/>
    <w:rsid w:val="00F56C3F"/>
    <w:rsid w:val="00F57C09"/>
    <w:rsid w:val="00F611BF"/>
    <w:rsid w:val="00F655BF"/>
    <w:rsid w:val="00F67B97"/>
    <w:rsid w:val="00F70E8E"/>
    <w:rsid w:val="00F715CC"/>
    <w:rsid w:val="00F71726"/>
    <w:rsid w:val="00F73382"/>
    <w:rsid w:val="00F73CDE"/>
    <w:rsid w:val="00F75AB6"/>
    <w:rsid w:val="00F766FC"/>
    <w:rsid w:val="00F76E43"/>
    <w:rsid w:val="00F77CCC"/>
    <w:rsid w:val="00F80C1D"/>
    <w:rsid w:val="00F840B3"/>
    <w:rsid w:val="00F85DA2"/>
    <w:rsid w:val="00F868D4"/>
    <w:rsid w:val="00F87780"/>
    <w:rsid w:val="00F9231D"/>
    <w:rsid w:val="00F92975"/>
    <w:rsid w:val="00F93BF4"/>
    <w:rsid w:val="00F969EA"/>
    <w:rsid w:val="00FA15DA"/>
    <w:rsid w:val="00FA5179"/>
    <w:rsid w:val="00FA73FE"/>
    <w:rsid w:val="00FB02F2"/>
    <w:rsid w:val="00FB0AFC"/>
    <w:rsid w:val="00FB1A0A"/>
    <w:rsid w:val="00FB6544"/>
    <w:rsid w:val="00FB7B49"/>
    <w:rsid w:val="00FC0174"/>
    <w:rsid w:val="00FC1326"/>
    <w:rsid w:val="00FC267A"/>
    <w:rsid w:val="00FC34A0"/>
    <w:rsid w:val="00FC3547"/>
    <w:rsid w:val="00FC6761"/>
    <w:rsid w:val="00FC68EA"/>
    <w:rsid w:val="00FD0D29"/>
    <w:rsid w:val="00FE1075"/>
    <w:rsid w:val="00FE26DD"/>
    <w:rsid w:val="00FE2DB1"/>
    <w:rsid w:val="00FE4CDC"/>
    <w:rsid w:val="00FE574B"/>
    <w:rsid w:val="00FE6B37"/>
    <w:rsid w:val="00FF2CD5"/>
    <w:rsid w:val="00FF32CE"/>
    <w:rsid w:val="00FF4CF8"/>
    <w:rsid w:val="00FF6C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785"/>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No Spacing1,List Paragraph Char Char Char,Indicator Text,Numbered Para 1,List Paragraph1,Bullet Points,MAIN CONTENT,Bullet 1,OBC Bullet,List Paragraph11,List Paragraph12,F5 List Paragraph,Colorful List - Accent 11,Normal numbered"/>
    <w:basedOn w:val="Normal"/>
    <w:link w:val="ListParagraphChar"/>
    <w:uiPriority w:val="34"/>
    <w:qFormat/>
    <w:rsid w:val="009E4438"/>
    <w:pPr>
      <w:ind w:left="720"/>
      <w:contextualSpacing/>
    </w:pPr>
  </w:style>
  <w:style w:type="paragraph" w:styleId="Header">
    <w:name w:val="header"/>
    <w:basedOn w:val="Normal"/>
    <w:link w:val="HeaderChar"/>
    <w:uiPriority w:val="99"/>
    <w:unhideWhenUsed/>
    <w:rsid w:val="0089146C"/>
    <w:pPr>
      <w:tabs>
        <w:tab w:val="center" w:pos="4513"/>
        <w:tab w:val="right" w:pos="9026"/>
      </w:tabs>
    </w:pPr>
  </w:style>
  <w:style w:type="character" w:customStyle="1" w:styleId="HeaderChar">
    <w:name w:val="Header Char"/>
    <w:link w:val="Header"/>
    <w:uiPriority w:val="99"/>
    <w:rsid w:val="0089146C"/>
    <w:rPr>
      <w:sz w:val="22"/>
      <w:szCs w:val="22"/>
      <w:lang w:eastAsia="en-US"/>
    </w:rPr>
  </w:style>
  <w:style w:type="paragraph" w:styleId="Footer">
    <w:name w:val="footer"/>
    <w:basedOn w:val="Normal"/>
    <w:link w:val="FooterChar"/>
    <w:uiPriority w:val="99"/>
    <w:unhideWhenUsed/>
    <w:rsid w:val="0089146C"/>
    <w:pPr>
      <w:tabs>
        <w:tab w:val="center" w:pos="4513"/>
        <w:tab w:val="right" w:pos="9026"/>
      </w:tabs>
    </w:pPr>
  </w:style>
  <w:style w:type="character" w:customStyle="1" w:styleId="FooterChar">
    <w:name w:val="Footer Char"/>
    <w:link w:val="Footer"/>
    <w:uiPriority w:val="99"/>
    <w:rsid w:val="0089146C"/>
    <w:rPr>
      <w:sz w:val="22"/>
      <w:szCs w:val="22"/>
      <w:lang w:eastAsia="en-US"/>
    </w:rPr>
  </w:style>
  <w:style w:type="table" w:styleId="TableGrid">
    <w:name w:val="Table Grid"/>
    <w:basedOn w:val="TableNormal"/>
    <w:uiPriority w:val="59"/>
    <w:rsid w:val="002F05F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uiPriority w:val="99"/>
    <w:semiHidden/>
    <w:unhideWhenUsed/>
    <w:rsid w:val="009670C5"/>
    <w:rPr>
      <w:sz w:val="16"/>
      <w:szCs w:val="16"/>
    </w:rPr>
  </w:style>
  <w:style w:type="paragraph" w:styleId="CommentText">
    <w:name w:val="annotation text"/>
    <w:basedOn w:val="Normal"/>
    <w:link w:val="CommentTextChar"/>
    <w:uiPriority w:val="99"/>
    <w:semiHidden/>
    <w:unhideWhenUsed/>
    <w:rsid w:val="009670C5"/>
    <w:rPr>
      <w:sz w:val="20"/>
      <w:szCs w:val="20"/>
    </w:rPr>
  </w:style>
  <w:style w:type="character" w:customStyle="1" w:styleId="CommentTextChar">
    <w:name w:val="Comment Text Char"/>
    <w:link w:val="CommentText"/>
    <w:uiPriority w:val="99"/>
    <w:semiHidden/>
    <w:rsid w:val="009670C5"/>
    <w:rPr>
      <w:lang w:eastAsia="en-US"/>
    </w:rPr>
  </w:style>
  <w:style w:type="paragraph" w:styleId="CommentSubject">
    <w:name w:val="annotation subject"/>
    <w:basedOn w:val="CommentText"/>
    <w:next w:val="CommentText"/>
    <w:link w:val="CommentSubjectChar"/>
    <w:uiPriority w:val="99"/>
    <w:semiHidden/>
    <w:unhideWhenUsed/>
    <w:rsid w:val="009670C5"/>
    <w:rPr>
      <w:b/>
      <w:bCs/>
    </w:rPr>
  </w:style>
  <w:style w:type="character" w:customStyle="1" w:styleId="CommentSubjectChar">
    <w:name w:val="Comment Subject Char"/>
    <w:link w:val="CommentSubject"/>
    <w:uiPriority w:val="99"/>
    <w:semiHidden/>
    <w:rsid w:val="009670C5"/>
    <w:rPr>
      <w:b/>
      <w:bCs/>
      <w:lang w:eastAsia="en-US"/>
    </w:rPr>
  </w:style>
  <w:style w:type="paragraph" w:styleId="BalloonText">
    <w:name w:val="Balloon Text"/>
    <w:basedOn w:val="Normal"/>
    <w:link w:val="BalloonTextChar"/>
    <w:uiPriority w:val="99"/>
    <w:semiHidden/>
    <w:unhideWhenUsed/>
    <w:rsid w:val="009670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670C5"/>
    <w:rPr>
      <w:rFonts w:ascii="Tahoma" w:hAnsi="Tahoma" w:cs="Tahoma"/>
      <w:sz w:val="16"/>
      <w:szCs w:val="16"/>
      <w:lang w:eastAsia="en-US"/>
    </w:rPr>
  </w:style>
  <w:style w:type="character" w:customStyle="1" w:styleId="ListParagraphChar">
    <w:name w:val="List Paragraph Char"/>
    <w:aliases w:val="Dot pt Char,No Spacing1 Char,List Paragraph Char Char Char Char,Indicator Text Char,Numbered Para 1 Char,List Paragraph1 Char,Bullet Points Char,MAIN CONTENT Char,Bullet 1 Char,OBC Bullet Char,List Paragraph11 Char"/>
    <w:link w:val="ListParagraph"/>
    <w:uiPriority w:val="34"/>
    <w:qFormat/>
    <w:locked/>
    <w:rsid w:val="00EC339B"/>
    <w:rPr>
      <w:sz w:val="22"/>
      <w:szCs w:val="22"/>
      <w:lang w:eastAsia="en-US"/>
    </w:rPr>
  </w:style>
  <w:style w:type="paragraph" w:styleId="NoSpacing">
    <w:name w:val="No Spacing"/>
    <w:uiPriority w:val="1"/>
    <w:qFormat/>
    <w:rsid w:val="004F6617"/>
    <w:rPr>
      <w:sz w:val="22"/>
      <w:szCs w:val="22"/>
      <w:lang w:eastAsia="en-US"/>
    </w:rPr>
  </w:style>
  <w:style w:type="paragraph" w:styleId="NormalWeb">
    <w:name w:val="Normal (Web)"/>
    <w:basedOn w:val="Normal"/>
    <w:uiPriority w:val="99"/>
    <w:semiHidden/>
    <w:unhideWhenUsed/>
    <w:rsid w:val="00BC470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Numberedparas">
    <w:name w:val="Numbered paras"/>
    <w:basedOn w:val="ListParagraph"/>
    <w:qFormat/>
    <w:rsid w:val="000F5812"/>
    <w:pPr>
      <w:numPr>
        <w:numId w:val="2"/>
      </w:numPr>
      <w:spacing w:after="120"/>
      <w:contextualSpacing w:val="0"/>
    </w:pPr>
    <w:rPr>
      <w:rFonts w:ascii="Arial" w:hAnsi="Arial" w:cs="Arial"/>
      <w:sz w:val="24"/>
      <w:szCs w:val="24"/>
    </w:rPr>
  </w:style>
  <w:style w:type="table" w:customStyle="1" w:styleId="TableGrid1">
    <w:name w:val="Table Grid1"/>
    <w:basedOn w:val="TableNormal"/>
    <w:next w:val="TableGrid"/>
    <w:uiPriority w:val="59"/>
    <w:rsid w:val="00E438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vkans">
    <w:name w:val="vk_ans"/>
    <w:rsid w:val="00CE081A"/>
  </w:style>
  <w:style w:type="paragraph" w:styleId="Revision">
    <w:name w:val="Revision"/>
    <w:hidden/>
    <w:uiPriority w:val="99"/>
    <w:semiHidden/>
    <w:rsid w:val="00937705"/>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8533">
      <w:bodyDiv w:val="1"/>
      <w:marLeft w:val="0"/>
      <w:marRight w:val="0"/>
      <w:marTop w:val="0"/>
      <w:marBottom w:val="0"/>
      <w:divBdr>
        <w:top w:val="none" w:sz="0" w:space="0" w:color="auto"/>
        <w:left w:val="none" w:sz="0" w:space="0" w:color="auto"/>
        <w:bottom w:val="none" w:sz="0" w:space="0" w:color="auto"/>
        <w:right w:val="none" w:sz="0" w:space="0" w:color="auto"/>
      </w:divBdr>
    </w:div>
    <w:div w:id="21127176">
      <w:bodyDiv w:val="1"/>
      <w:marLeft w:val="0"/>
      <w:marRight w:val="0"/>
      <w:marTop w:val="0"/>
      <w:marBottom w:val="0"/>
      <w:divBdr>
        <w:top w:val="none" w:sz="0" w:space="0" w:color="auto"/>
        <w:left w:val="none" w:sz="0" w:space="0" w:color="auto"/>
        <w:bottom w:val="none" w:sz="0" w:space="0" w:color="auto"/>
        <w:right w:val="none" w:sz="0" w:space="0" w:color="auto"/>
      </w:divBdr>
    </w:div>
    <w:div w:id="164563643">
      <w:bodyDiv w:val="1"/>
      <w:marLeft w:val="0"/>
      <w:marRight w:val="0"/>
      <w:marTop w:val="0"/>
      <w:marBottom w:val="0"/>
      <w:divBdr>
        <w:top w:val="none" w:sz="0" w:space="0" w:color="auto"/>
        <w:left w:val="none" w:sz="0" w:space="0" w:color="auto"/>
        <w:bottom w:val="none" w:sz="0" w:space="0" w:color="auto"/>
        <w:right w:val="none" w:sz="0" w:space="0" w:color="auto"/>
      </w:divBdr>
    </w:div>
    <w:div w:id="218320924">
      <w:bodyDiv w:val="1"/>
      <w:marLeft w:val="0"/>
      <w:marRight w:val="0"/>
      <w:marTop w:val="0"/>
      <w:marBottom w:val="0"/>
      <w:divBdr>
        <w:top w:val="none" w:sz="0" w:space="0" w:color="auto"/>
        <w:left w:val="none" w:sz="0" w:space="0" w:color="auto"/>
        <w:bottom w:val="none" w:sz="0" w:space="0" w:color="auto"/>
        <w:right w:val="none" w:sz="0" w:space="0" w:color="auto"/>
      </w:divBdr>
    </w:div>
    <w:div w:id="249461984">
      <w:bodyDiv w:val="1"/>
      <w:marLeft w:val="0"/>
      <w:marRight w:val="0"/>
      <w:marTop w:val="0"/>
      <w:marBottom w:val="0"/>
      <w:divBdr>
        <w:top w:val="none" w:sz="0" w:space="0" w:color="auto"/>
        <w:left w:val="none" w:sz="0" w:space="0" w:color="auto"/>
        <w:bottom w:val="none" w:sz="0" w:space="0" w:color="auto"/>
        <w:right w:val="none" w:sz="0" w:space="0" w:color="auto"/>
      </w:divBdr>
    </w:div>
    <w:div w:id="285504664">
      <w:bodyDiv w:val="1"/>
      <w:marLeft w:val="0"/>
      <w:marRight w:val="0"/>
      <w:marTop w:val="0"/>
      <w:marBottom w:val="0"/>
      <w:divBdr>
        <w:top w:val="none" w:sz="0" w:space="0" w:color="auto"/>
        <w:left w:val="none" w:sz="0" w:space="0" w:color="auto"/>
        <w:bottom w:val="none" w:sz="0" w:space="0" w:color="auto"/>
        <w:right w:val="none" w:sz="0" w:space="0" w:color="auto"/>
      </w:divBdr>
    </w:div>
    <w:div w:id="316810087">
      <w:bodyDiv w:val="1"/>
      <w:marLeft w:val="0"/>
      <w:marRight w:val="0"/>
      <w:marTop w:val="0"/>
      <w:marBottom w:val="0"/>
      <w:divBdr>
        <w:top w:val="none" w:sz="0" w:space="0" w:color="auto"/>
        <w:left w:val="none" w:sz="0" w:space="0" w:color="auto"/>
        <w:bottom w:val="none" w:sz="0" w:space="0" w:color="auto"/>
        <w:right w:val="none" w:sz="0" w:space="0" w:color="auto"/>
      </w:divBdr>
    </w:div>
    <w:div w:id="447236790">
      <w:bodyDiv w:val="1"/>
      <w:marLeft w:val="0"/>
      <w:marRight w:val="0"/>
      <w:marTop w:val="0"/>
      <w:marBottom w:val="0"/>
      <w:divBdr>
        <w:top w:val="none" w:sz="0" w:space="0" w:color="auto"/>
        <w:left w:val="none" w:sz="0" w:space="0" w:color="auto"/>
        <w:bottom w:val="none" w:sz="0" w:space="0" w:color="auto"/>
        <w:right w:val="none" w:sz="0" w:space="0" w:color="auto"/>
      </w:divBdr>
    </w:div>
    <w:div w:id="603999200">
      <w:bodyDiv w:val="1"/>
      <w:marLeft w:val="0"/>
      <w:marRight w:val="0"/>
      <w:marTop w:val="0"/>
      <w:marBottom w:val="0"/>
      <w:divBdr>
        <w:top w:val="none" w:sz="0" w:space="0" w:color="auto"/>
        <w:left w:val="none" w:sz="0" w:space="0" w:color="auto"/>
        <w:bottom w:val="none" w:sz="0" w:space="0" w:color="auto"/>
        <w:right w:val="none" w:sz="0" w:space="0" w:color="auto"/>
      </w:divBdr>
    </w:div>
    <w:div w:id="613294775">
      <w:bodyDiv w:val="1"/>
      <w:marLeft w:val="0"/>
      <w:marRight w:val="0"/>
      <w:marTop w:val="0"/>
      <w:marBottom w:val="0"/>
      <w:divBdr>
        <w:top w:val="none" w:sz="0" w:space="0" w:color="auto"/>
        <w:left w:val="none" w:sz="0" w:space="0" w:color="auto"/>
        <w:bottom w:val="none" w:sz="0" w:space="0" w:color="auto"/>
        <w:right w:val="none" w:sz="0" w:space="0" w:color="auto"/>
      </w:divBdr>
    </w:div>
    <w:div w:id="701439177">
      <w:bodyDiv w:val="1"/>
      <w:marLeft w:val="0"/>
      <w:marRight w:val="0"/>
      <w:marTop w:val="0"/>
      <w:marBottom w:val="0"/>
      <w:divBdr>
        <w:top w:val="none" w:sz="0" w:space="0" w:color="auto"/>
        <w:left w:val="none" w:sz="0" w:space="0" w:color="auto"/>
        <w:bottom w:val="none" w:sz="0" w:space="0" w:color="auto"/>
        <w:right w:val="none" w:sz="0" w:space="0" w:color="auto"/>
      </w:divBdr>
    </w:div>
    <w:div w:id="804085809">
      <w:bodyDiv w:val="1"/>
      <w:marLeft w:val="0"/>
      <w:marRight w:val="0"/>
      <w:marTop w:val="0"/>
      <w:marBottom w:val="0"/>
      <w:divBdr>
        <w:top w:val="none" w:sz="0" w:space="0" w:color="auto"/>
        <w:left w:val="none" w:sz="0" w:space="0" w:color="auto"/>
        <w:bottom w:val="none" w:sz="0" w:space="0" w:color="auto"/>
        <w:right w:val="none" w:sz="0" w:space="0" w:color="auto"/>
      </w:divBdr>
    </w:div>
    <w:div w:id="1028456744">
      <w:bodyDiv w:val="1"/>
      <w:marLeft w:val="0"/>
      <w:marRight w:val="0"/>
      <w:marTop w:val="0"/>
      <w:marBottom w:val="0"/>
      <w:divBdr>
        <w:top w:val="none" w:sz="0" w:space="0" w:color="auto"/>
        <w:left w:val="none" w:sz="0" w:space="0" w:color="auto"/>
        <w:bottom w:val="none" w:sz="0" w:space="0" w:color="auto"/>
        <w:right w:val="none" w:sz="0" w:space="0" w:color="auto"/>
      </w:divBdr>
    </w:div>
    <w:div w:id="1028530603">
      <w:bodyDiv w:val="1"/>
      <w:marLeft w:val="0"/>
      <w:marRight w:val="0"/>
      <w:marTop w:val="0"/>
      <w:marBottom w:val="0"/>
      <w:divBdr>
        <w:top w:val="none" w:sz="0" w:space="0" w:color="auto"/>
        <w:left w:val="none" w:sz="0" w:space="0" w:color="auto"/>
        <w:bottom w:val="none" w:sz="0" w:space="0" w:color="auto"/>
        <w:right w:val="none" w:sz="0" w:space="0" w:color="auto"/>
      </w:divBdr>
    </w:div>
    <w:div w:id="1093939897">
      <w:bodyDiv w:val="1"/>
      <w:marLeft w:val="0"/>
      <w:marRight w:val="0"/>
      <w:marTop w:val="0"/>
      <w:marBottom w:val="0"/>
      <w:divBdr>
        <w:top w:val="none" w:sz="0" w:space="0" w:color="auto"/>
        <w:left w:val="none" w:sz="0" w:space="0" w:color="auto"/>
        <w:bottom w:val="none" w:sz="0" w:space="0" w:color="auto"/>
        <w:right w:val="none" w:sz="0" w:space="0" w:color="auto"/>
      </w:divBdr>
    </w:div>
    <w:div w:id="1144203048">
      <w:bodyDiv w:val="1"/>
      <w:marLeft w:val="0"/>
      <w:marRight w:val="0"/>
      <w:marTop w:val="0"/>
      <w:marBottom w:val="0"/>
      <w:divBdr>
        <w:top w:val="none" w:sz="0" w:space="0" w:color="auto"/>
        <w:left w:val="none" w:sz="0" w:space="0" w:color="auto"/>
        <w:bottom w:val="none" w:sz="0" w:space="0" w:color="auto"/>
        <w:right w:val="none" w:sz="0" w:space="0" w:color="auto"/>
      </w:divBdr>
    </w:div>
    <w:div w:id="1145856243">
      <w:bodyDiv w:val="1"/>
      <w:marLeft w:val="0"/>
      <w:marRight w:val="0"/>
      <w:marTop w:val="0"/>
      <w:marBottom w:val="0"/>
      <w:divBdr>
        <w:top w:val="none" w:sz="0" w:space="0" w:color="auto"/>
        <w:left w:val="none" w:sz="0" w:space="0" w:color="auto"/>
        <w:bottom w:val="none" w:sz="0" w:space="0" w:color="auto"/>
        <w:right w:val="none" w:sz="0" w:space="0" w:color="auto"/>
      </w:divBdr>
    </w:div>
    <w:div w:id="1165709305">
      <w:bodyDiv w:val="1"/>
      <w:marLeft w:val="0"/>
      <w:marRight w:val="0"/>
      <w:marTop w:val="0"/>
      <w:marBottom w:val="0"/>
      <w:divBdr>
        <w:top w:val="none" w:sz="0" w:space="0" w:color="auto"/>
        <w:left w:val="none" w:sz="0" w:space="0" w:color="auto"/>
        <w:bottom w:val="none" w:sz="0" w:space="0" w:color="auto"/>
        <w:right w:val="none" w:sz="0" w:space="0" w:color="auto"/>
      </w:divBdr>
    </w:div>
    <w:div w:id="1178957758">
      <w:bodyDiv w:val="1"/>
      <w:marLeft w:val="0"/>
      <w:marRight w:val="0"/>
      <w:marTop w:val="0"/>
      <w:marBottom w:val="0"/>
      <w:divBdr>
        <w:top w:val="none" w:sz="0" w:space="0" w:color="auto"/>
        <w:left w:val="none" w:sz="0" w:space="0" w:color="auto"/>
        <w:bottom w:val="none" w:sz="0" w:space="0" w:color="auto"/>
        <w:right w:val="none" w:sz="0" w:space="0" w:color="auto"/>
      </w:divBdr>
    </w:div>
    <w:div w:id="1185091088">
      <w:bodyDiv w:val="1"/>
      <w:marLeft w:val="0"/>
      <w:marRight w:val="0"/>
      <w:marTop w:val="0"/>
      <w:marBottom w:val="0"/>
      <w:divBdr>
        <w:top w:val="none" w:sz="0" w:space="0" w:color="auto"/>
        <w:left w:val="none" w:sz="0" w:space="0" w:color="auto"/>
        <w:bottom w:val="none" w:sz="0" w:space="0" w:color="auto"/>
        <w:right w:val="none" w:sz="0" w:space="0" w:color="auto"/>
      </w:divBdr>
    </w:div>
    <w:div w:id="1411926035">
      <w:bodyDiv w:val="1"/>
      <w:marLeft w:val="0"/>
      <w:marRight w:val="0"/>
      <w:marTop w:val="0"/>
      <w:marBottom w:val="0"/>
      <w:divBdr>
        <w:top w:val="none" w:sz="0" w:space="0" w:color="auto"/>
        <w:left w:val="none" w:sz="0" w:space="0" w:color="auto"/>
        <w:bottom w:val="none" w:sz="0" w:space="0" w:color="auto"/>
        <w:right w:val="none" w:sz="0" w:space="0" w:color="auto"/>
      </w:divBdr>
    </w:div>
    <w:div w:id="1425540515">
      <w:bodyDiv w:val="1"/>
      <w:marLeft w:val="0"/>
      <w:marRight w:val="0"/>
      <w:marTop w:val="0"/>
      <w:marBottom w:val="0"/>
      <w:divBdr>
        <w:top w:val="none" w:sz="0" w:space="0" w:color="auto"/>
        <w:left w:val="none" w:sz="0" w:space="0" w:color="auto"/>
        <w:bottom w:val="none" w:sz="0" w:space="0" w:color="auto"/>
        <w:right w:val="none" w:sz="0" w:space="0" w:color="auto"/>
      </w:divBdr>
      <w:divsChild>
        <w:div w:id="847446648">
          <w:marLeft w:val="547"/>
          <w:marRight w:val="0"/>
          <w:marTop w:val="96"/>
          <w:marBottom w:val="0"/>
          <w:divBdr>
            <w:top w:val="none" w:sz="0" w:space="0" w:color="auto"/>
            <w:left w:val="none" w:sz="0" w:space="0" w:color="auto"/>
            <w:bottom w:val="none" w:sz="0" w:space="0" w:color="auto"/>
            <w:right w:val="none" w:sz="0" w:space="0" w:color="auto"/>
          </w:divBdr>
        </w:div>
        <w:div w:id="1355376253">
          <w:marLeft w:val="547"/>
          <w:marRight w:val="0"/>
          <w:marTop w:val="96"/>
          <w:marBottom w:val="0"/>
          <w:divBdr>
            <w:top w:val="none" w:sz="0" w:space="0" w:color="auto"/>
            <w:left w:val="none" w:sz="0" w:space="0" w:color="auto"/>
            <w:bottom w:val="none" w:sz="0" w:space="0" w:color="auto"/>
            <w:right w:val="none" w:sz="0" w:space="0" w:color="auto"/>
          </w:divBdr>
        </w:div>
        <w:div w:id="1974017284">
          <w:marLeft w:val="1166"/>
          <w:marRight w:val="0"/>
          <w:marTop w:val="96"/>
          <w:marBottom w:val="0"/>
          <w:divBdr>
            <w:top w:val="none" w:sz="0" w:space="0" w:color="auto"/>
            <w:left w:val="none" w:sz="0" w:space="0" w:color="auto"/>
            <w:bottom w:val="none" w:sz="0" w:space="0" w:color="auto"/>
            <w:right w:val="none" w:sz="0" w:space="0" w:color="auto"/>
          </w:divBdr>
        </w:div>
        <w:div w:id="793906317">
          <w:marLeft w:val="1166"/>
          <w:marRight w:val="0"/>
          <w:marTop w:val="96"/>
          <w:marBottom w:val="0"/>
          <w:divBdr>
            <w:top w:val="none" w:sz="0" w:space="0" w:color="auto"/>
            <w:left w:val="none" w:sz="0" w:space="0" w:color="auto"/>
            <w:bottom w:val="none" w:sz="0" w:space="0" w:color="auto"/>
            <w:right w:val="none" w:sz="0" w:space="0" w:color="auto"/>
          </w:divBdr>
        </w:div>
        <w:div w:id="420175544">
          <w:marLeft w:val="547"/>
          <w:marRight w:val="0"/>
          <w:marTop w:val="96"/>
          <w:marBottom w:val="0"/>
          <w:divBdr>
            <w:top w:val="none" w:sz="0" w:space="0" w:color="auto"/>
            <w:left w:val="none" w:sz="0" w:space="0" w:color="auto"/>
            <w:bottom w:val="none" w:sz="0" w:space="0" w:color="auto"/>
            <w:right w:val="none" w:sz="0" w:space="0" w:color="auto"/>
          </w:divBdr>
        </w:div>
        <w:div w:id="1537233268">
          <w:marLeft w:val="1166"/>
          <w:marRight w:val="0"/>
          <w:marTop w:val="96"/>
          <w:marBottom w:val="0"/>
          <w:divBdr>
            <w:top w:val="none" w:sz="0" w:space="0" w:color="auto"/>
            <w:left w:val="none" w:sz="0" w:space="0" w:color="auto"/>
            <w:bottom w:val="none" w:sz="0" w:space="0" w:color="auto"/>
            <w:right w:val="none" w:sz="0" w:space="0" w:color="auto"/>
          </w:divBdr>
        </w:div>
        <w:div w:id="7997623">
          <w:marLeft w:val="547"/>
          <w:marRight w:val="0"/>
          <w:marTop w:val="96"/>
          <w:marBottom w:val="0"/>
          <w:divBdr>
            <w:top w:val="none" w:sz="0" w:space="0" w:color="auto"/>
            <w:left w:val="none" w:sz="0" w:space="0" w:color="auto"/>
            <w:bottom w:val="none" w:sz="0" w:space="0" w:color="auto"/>
            <w:right w:val="none" w:sz="0" w:space="0" w:color="auto"/>
          </w:divBdr>
        </w:div>
        <w:div w:id="1632705677">
          <w:marLeft w:val="547"/>
          <w:marRight w:val="0"/>
          <w:marTop w:val="96"/>
          <w:marBottom w:val="0"/>
          <w:divBdr>
            <w:top w:val="none" w:sz="0" w:space="0" w:color="auto"/>
            <w:left w:val="none" w:sz="0" w:space="0" w:color="auto"/>
            <w:bottom w:val="none" w:sz="0" w:space="0" w:color="auto"/>
            <w:right w:val="none" w:sz="0" w:space="0" w:color="auto"/>
          </w:divBdr>
        </w:div>
        <w:div w:id="1309703256">
          <w:marLeft w:val="547"/>
          <w:marRight w:val="0"/>
          <w:marTop w:val="96"/>
          <w:marBottom w:val="0"/>
          <w:divBdr>
            <w:top w:val="none" w:sz="0" w:space="0" w:color="auto"/>
            <w:left w:val="none" w:sz="0" w:space="0" w:color="auto"/>
            <w:bottom w:val="none" w:sz="0" w:space="0" w:color="auto"/>
            <w:right w:val="none" w:sz="0" w:space="0" w:color="auto"/>
          </w:divBdr>
        </w:div>
        <w:div w:id="1447120675">
          <w:marLeft w:val="1166"/>
          <w:marRight w:val="0"/>
          <w:marTop w:val="96"/>
          <w:marBottom w:val="0"/>
          <w:divBdr>
            <w:top w:val="none" w:sz="0" w:space="0" w:color="auto"/>
            <w:left w:val="none" w:sz="0" w:space="0" w:color="auto"/>
            <w:bottom w:val="none" w:sz="0" w:space="0" w:color="auto"/>
            <w:right w:val="none" w:sz="0" w:space="0" w:color="auto"/>
          </w:divBdr>
        </w:div>
        <w:div w:id="48236233">
          <w:marLeft w:val="547"/>
          <w:marRight w:val="0"/>
          <w:marTop w:val="96"/>
          <w:marBottom w:val="0"/>
          <w:divBdr>
            <w:top w:val="none" w:sz="0" w:space="0" w:color="auto"/>
            <w:left w:val="none" w:sz="0" w:space="0" w:color="auto"/>
            <w:bottom w:val="none" w:sz="0" w:space="0" w:color="auto"/>
            <w:right w:val="none" w:sz="0" w:space="0" w:color="auto"/>
          </w:divBdr>
        </w:div>
      </w:divsChild>
    </w:div>
    <w:div w:id="1517887171">
      <w:bodyDiv w:val="1"/>
      <w:marLeft w:val="0"/>
      <w:marRight w:val="0"/>
      <w:marTop w:val="0"/>
      <w:marBottom w:val="0"/>
      <w:divBdr>
        <w:top w:val="none" w:sz="0" w:space="0" w:color="auto"/>
        <w:left w:val="none" w:sz="0" w:space="0" w:color="auto"/>
        <w:bottom w:val="none" w:sz="0" w:space="0" w:color="auto"/>
        <w:right w:val="none" w:sz="0" w:space="0" w:color="auto"/>
      </w:divBdr>
    </w:div>
    <w:div w:id="1525441275">
      <w:bodyDiv w:val="1"/>
      <w:marLeft w:val="0"/>
      <w:marRight w:val="0"/>
      <w:marTop w:val="0"/>
      <w:marBottom w:val="0"/>
      <w:divBdr>
        <w:top w:val="none" w:sz="0" w:space="0" w:color="auto"/>
        <w:left w:val="none" w:sz="0" w:space="0" w:color="auto"/>
        <w:bottom w:val="none" w:sz="0" w:space="0" w:color="auto"/>
        <w:right w:val="none" w:sz="0" w:space="0" w:color="auto"/>
      </w:divBdr>
    </w:div>
    <w:div w:id="1607494839">
      <w:bodyDiv w:val="1"/>
      <w:marLeft w:val="0"/>
      <w:marRight w:val="0"/>
      <w:marTop w:val="0"/>
      <w:marBottom w:val="0"/>
      <w:divBdr>
        <w:top w:val="none" w:sz="0" w:space="0" w:color="auto"/>
        <w:left w:val="none" w:sz="0" w:space="0" w:color="auto"/>
        <w:bottom w:val="none" w:sz="0" w:space="0" w:color="auto"/>
        <w:right w:val="none" w:sz="0" w:space="0" w:color="auto"/>
      </w:divBdr>
      <w:divsChild>
        <w:div w:id="880240600">
          <w:marLeft w:val="0"/>
          <w:marRight w:val="0"/>
          <w:marTop w:val="0"/>
          <w:marBottom w:val="0"/>
          <w:divBdr>
            <w:top w:val="none" w:sz="0" w:space="0" w:color="auto"/>
            <w:left w:val="none" w:sz="0" w:space="0" w:color="auto"/>
            <w:bottom w:val="none" w:sz="0" w:space="0" w:color="auto"/>
            <w:right w:val="none" w:sz="0" w:space="0" w:color="auto"/>
          </w:divBdr>
          <w:divsChild>
            <w:div w:id="1242913766">
              <w:marLeft w:val="0"/>
              <w:marRight w:val="0"/>
              <w:marTop w:val="0"/>
              <w:marBottom w:val="0"/>
              <w:divBdr>
                <w:top w:val="none" w:sz="0" w:space="0" w:color="auto"/>
                <w:left w:val="none" w:sz="0" w:space="0" w:color="auto"/>
                <w:bottom w:val="none" w:sz="0" w:space="0" w:color="auto"/>
                <w:right w:val="none" w:sz="0" w:space="0" w:color="auto"/>
              </w:divBdr>
              <w:divsChild>
                <w:div w:id="1820413709">
                  <w:marLeft w:val="0"/>
                  <w:marRight w:val="0"/>
                  <w:marTop w:val="0"/>
                  <w:marBottom w:val="0"/>
                  <w:divBdr>
                    <w:top w:val="none" w:sz="0" w:space="0" w:color="auto"/>
                    <w:left w:val="none" w:sz="0" w:space="0" w:color="auto"/>
                    <w:bottom w:val="none" w:sz="0" w:space="0" w:color="auto"/>
                    <w:right w:val="none" w:sz="0" w:space="0" w:color="auto"/>
                  </w:divBdr>
                  <w:divsChild>
                    <w:div w:id="353771358">
                      <w:marLeft w:val="0"/>
                      <w:marRight w:val="0"/>
                      <w:marTop w:val="0"/>
                      <w:marBottom w:val="0"/>
                      <w:divBdr>
                        <w:top w:val="none" w:sz="0" w:space="0" w:color="auto"/>
                        <w:left w:val="none" w:sz="0" w:space="0" w:color="auto"/>
                        <w:bottom w:val="none" w:sz="0" w:space="0" w:color="auto"/>
                        <w:right w:val="none" w:sz="0" w:space="0" w:color="auto"/>
                      </w:divBdr>
                      <w:divsChild>
                        <w:div w:id="1830439738">
                          <w:marLeft w:val="0"/>
                          <w:marRight w:val="0"/>
                          <w:marTop w:val="45"/>
                          <w:marBottom w:val="0"/>
                          <w:divBdr>
                            <w:top w:val="none" w:sz="0" w:space="0" w:color="auto"/>
                            <w:left w:val="none" w:sz="0" w:space="0" w:color="auto"/>
                            <w:bottom w:val="none" w:sz="0" w:space="0" w:color="auto"/>
                            <w:right w:val="none" w:sz="0" w:space="0" w:color="auto"/>
                          </w:divBdr>
                          <w:divsChild>
                            <w:div w:id="144048971">
                              <w:marLeft w:val="0"/>
                              <w:marRight w:val="0"/>
                              <w:marTop w:val="0"/>
                              <w:marBottom w:val="0"/>
                              <w:divBdr>
                                <w:top w:val="none" w:sz="0" w:space="0" w:color="auto"/>
                                <w:left w:val="none" w:sz="0" w:space="0" w:color="auto"/>
                                <w:bottom w:val="none" w:sz="0" w:space="0" w:color="auto"/>
                                <w:right w:val="none" w:sz="0" w:space="0" w:color="auto"/>
                              </w:divBdr>
                              <w:divsChild>
                                <w:div w:id="108360499">
                                  <w:marLeft w:val="2070"/>
                                  <w:marRight w:val="3810"/>
                                  <w:marTop w:val="0"/>
                                  <w:marBottom w:val="0"/>
                                  <w:divBdr>
                                    <w:top w:val="none" w:sz="0" w:space="0" w:color="auto"/>
                                    <w:left w:val="none" w:sz="0" w:space="0" w:color="auto"/>
                                    <w:bottom w:val="none" w:sz="0" w:space="0" w:color="auto"/>
                                    <w:right w:val="none" w:sz="0" w:space="0" w:color="auto"/>
                                  </w:divBdr>
                                  <w:divsChild>
                                    <w:div w:id="1916546708">
                                      <w:marLeft w:val="0"/>
                                      <w:marRight w:val="0"/>
                                      <w:marTop w:val="0"/>
                                      <w:marBottom w:val="0"/>
                                      <w:divBdr>
                                        <w:top w:val="none" w:sz="0" w:space="0" w:color="auto"/>
                                        <w:left w:val="none" w:sz="0" w:space="0" w:color="auto"/>
                                        <w:bottom w:val="none" w:sz="0" w:space="0" w:color="auto"/>
                                        <w:right w:val="none" w:sz="0" w:space="0" w:color="auto"/>
                                      </w:divBdr>
                                      <w:divsChild>
                                        <w:div w:id="1355958560">
                                          <w:marLeft w:val="0"/>
                                          <w:marRight w:val="0"/>
                                          <w:marTop w:val="0"/>
                                          <w:marBottom w:val="0"/>
                                          <w:divBdr>
                                            <w:top w:val="none" w:sz="0" w:space="0" w:color="auto"/>
                                            <w:left w:val="none" w:sz="0" w:space="0" w:color="auto"/>
                                            <w:bottom w:val="none" w:sz="0" w:space="0" w:color="auto"/>
                                            <w:right w:val="none" w:sz="0" w:space="0" w:color="auto"/>
                                          </w:divBdr>
                                          <w:divsChild>
                                            <w:div w:id="128897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6706573">
      <w:bodyDiv w:val="1"/>
      <w:marLeft w:val="0"/>
      <w:marRight w:val="0"/>
      <w:marTop w:val="0"/>
      <w:marBottom w:val="0"/>
      <w:divBdr>
        <w:top w:val="none" w:sz="0" w:space="0" w:color="auto"/>
        <w:left w:val="none" w:sz="0" w:space="0" w:color="auto"/>
        <w:bottom w:val="none" w:sz="0" w:space="0" w:color="auto"/>
        <w:right w:val="none" w:sz="0" w:space="0" w:color="auto"/>
      </w:divBdr>
    </w:div>
    <w:div w:id="1753233075">
      <w:bodyDiv w:val="1"/>
      <w:marLeft w:val="0"/>
      <w:marRight w:val="0"/>
      <w:marTop w:val="0"/>
      <w:marBottom w:val="0"/>
      <w:divBdr>
        <w:top w:val="none" w:sz="0" w:space="0" w:color="auto"/>
        <w:left w:val="none" w:sz="0" w:space="0" w:color="auto"/>
        <w:bottom w:val="none" w:sz="0" w:space="0" w:color="auto"/>
        <w:right w:val="none" w:sz="0" w:space="0" w:color="auto"/>
      </w:divBdr>
    </w:div>
    <w:div w:id="1821581539">
      <w:bodyDiv w:val="1"/>
      <w:marLeft w:val="0"/>
      <w:marRight w:val="0"/>
      <w:marTop w:val="0"/>
      <w:marBottom w:val="0"/>
      <w:divBdr>
        <w:top w:val="none" w:sz="0" w:space="0" w:color="auto"/>
        <w:left w:val="none" w:sz="0" w:space="0" w:color="auto"/>
        <w:bottom w:val="none" w:sz="0" w:space="0" w:color="auto"/>
        <w:right w:val="none" w:sz="0" w:space="0" w:color="auto"/>
      </w:divBdr>
    </w:div>
    <w:div w:id="19200911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3370B-FC39-48A0-8CF0-0097A6C38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F9A3CB10</Template>
  <TotalTime>0</TotalTime>
  <Pages>5</Pages>
  <Words>1553</Words>
  <Characters>8858</Characters>
  <Application>Microsoft Office Word</Application>
  <DocSecurity>0</DocSecurity>
  <Lines>73</Lines>
  <Paragraphs>20</Paragraphs>
  <ScaleCrop>false</ScaleCrop>
  <Company/>
  <LinksUpToDate>false</LinksUpToDate>
  <CharactersWithSpaces>10391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2013-11-11T17:11:00Z</dcterms:created>
  <dcterms:modified xsi:type="dcterms:W3CDTF">2013-11-11T17:23:00Z</dcterms:modified>
</cp:coreProperties>
</file>